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  <w:t>1</w:t>
      </w:r>
    </w:p>
    <w:p>
      <w:pPr>
        <w:spacing w:line="430" w:lineRule="exact"/>
        <w:jc w:val="center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“乡村振兴 爱心书屋”捐赠活动单位回馈细则</w:t>
      </w:r>
    </w:p>
    <w:bookmarkEnd w:id="0"/>
    <w:p>
      <w:pPr>
        <w:spacing w:line="430" w:lineRule="exact"/>
        <w:rPr>
          <w:rFonts w:ascii="方正仿宋_GBK" w:hAnsi="方正仿宋_GBK" w:eastAsia="方正仿宋_GBK" w:cs="方正仿宋_GBK"/>
          <w:b/>
          <w:bCs/>
          <w:sz w:val="32"/>
          <w:szCs w:val="32"/>
          <w:highlight w:val="none"/>
        </w:rPr>
      </w:pPr>
    </w:p>
    <w:p>
      <w:pPr>
        <w:spacing w:line="43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一、捐赠2万元及以上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1.颁发捐赠证书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2.广东省青少年发展基金会网站公示</w:t>
      </w:r>
    </w:p>
    <w:p>
      <w:pPr>
        <w:spacing w:line="43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二、捐赠5万元及以上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1.颁发捐赠证书和牌匾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2.在受赠学校挂牌“乡村振兴 爱心书屋”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3.广东省青少年发展基金会网站公示</w:t>
      </w:r>
    </w:p>
    <w:p>
      <w:pPr>
        <w:spacing w:line="430" w:lineRule="exact"/>
        <w:ind w:firstLine="562" w:firstLineChars="200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</w:rPr>
        <w:t>三、捐赠50万元及以上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1.颁发捐赠证书和牌匾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2.在受赠学校挂牌“乡村振兴 爱心书屋”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3.广东省青少年发展基金会网站公示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4.在受赠学校举办捐赠仪式，邀请当地领导出席并邀请媒体宣传报道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注：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1.所有捐赠款项均可开具广东省公益事业捐赠统一票据，可享受国家抵税政策。具体优惠政策请见附件。</w:t>
      </w:r>
    </w:p>
    <w:p>
      <w:pPr>
        <w:spacing w:line="43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2.如捐方需要举办捐赠仪式，征求受赠学校同意后可开展，捐赠仪式费用由捐方承担。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3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292</Characters>
  <Lines>0</Lines>
  <Paragraphs>0</Paragraphs>
  <TotalTime>0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2022-03-24T03:37:27Z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CE91E808A64047D698D3CB734467CC52</vt:lpwstr>
  </property>
</Properties>
</file>