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7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54"/>
        <w:gridCol w:w="2431"/>
        <w:gridCol w:w="1426"/>
        <w:gridCol w:w="7078"/>
        <w:gridCol w:w="765"/>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411" w:type="dxa"/>
            <w:gridSpan w:val="3"/>
            <w:shd w:val="clear" w:color="auto" w:fill="auto"/>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黑体" w:eastAsia="黑体" w:cs="黑体"/>
                <w:sz w:val="32"/>
                <w:szCs w:val="32"/>
                <w:lang w:val="en-US" w:eastAsia="zh-CN"/>
              </w:rPr>
              <w:t>附件3</w:t>
            </w:r>
          </w:p>
        </w:tc>
        <w:tc>
          <w:tcPr>
            <w:tcW w:w="7078" w:type="dxa"/>
            <w:shd w:val="clear" w:color="auto" w:fill="auto"/>
            <w:vAlign w:val="center"/>
          </w:tcPr>
          <w:p>
            <w:pPr>
              <w:jc w:val="left"/>
              <w:rPr>
                <w:rFonts w:hint="eastAsia" w:ascii="宋体" w:hAnsi="宋体" w:eastAsia="宋体" w:cs="宋体"/>
                <w:i w:val="0"/>
                <w:color w:val="000000"/>
                <w:sz w:val="20"/>
                <w:szCs w:val="20"/>
                <w:u w:val="none"/>
              </w:rPr>
            </w:pPr>
          </w:p>
        </w:tc>
        <w:tc>
          <w:tcPr>
            <w:tcW w:w="765" w:type="dxa"/>
            <w:shd w:val="clear" w:color="auto" w:fill="auto"/>
            <w:vAlign w:val="center"/>
          </w:tcPr>
          <w:p>
            <w:pPr>
              <w:jc w:val="center"/>
              <w:rPr>
                <w:rFonts w:hint="eastAsia" w:ascii="宋体" w:hAnsi="宋体" w:eastAsia="宋体" w:cs="宋体"/>
                <w:i w:val="0"/>
                <w:color w:val="000000"/>
                <w:sz w:val="20"/>
                <w:szCs w:val="20"/>
                <w:u w:val="none"/>
              </w:rPr>
            </w:pPr>
          </w:p>
        </w:tc>
        <w:tc>
          <w:tcPr>
            <w:tcW w:w="1531" w:type="dxa"/>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70" w:hRule="atLeast"/>
        </w:trPr>
        <w:tc>
          <w:tcPr>
            <w:tcW w:w="13785" w:type="dxa"/>
            <w:gridSpan w:val="6"/>
            <w:vMerge w:val="restart"/>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广东省节能技术、设备（产品）推荐目录（2018年本）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3785" w:type="dxa"/>
            <w:gridSpan w:val="6"/>
            <w:vMerge w:val="continue"/>
            <w:shd w:val="clear" w:color="auto" w:fill="auto"/>
            <w:vAlign w:val="center"/>
          </w:tcPr>
          <w:p>
            <w:pPr>
              <w:jc w:val="center"/>
              <w:rPr>
                <w:rFonts w:hint="default"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24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技术名称</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适用范围</w:t>
            </w:r>
          </w:p>
        </w:tc>
        <w:tc>
          <w:tcPr>
            <w:tcW w:w="7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主要技术内容</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目前推广比例</w:t>
            </w:r>
          </w:p>
        </w:tc>
        <w:tc>
          <w:tcPr>
            <w:tcW w:w="15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技术提供单位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5" w:hRule="atLeast"/>
        </w:trPr>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4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HOLDSTORM•AIE数据中心节能技术系列产品</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数据中心</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系列产品包括HOLDSTORM•AIE标准单元、HOLDSTORM•AIE中密度单元、HOLDSTORM•AIE高密度单元和HOLDSTORM•AIE可移动蓝魔方智能高效整体机房等，采用全密闭冷热通道、二维动态负载均衡送冷、智能管控等技术解决了局部过热等问题，提高回风温度10度以上，实现节能35%以上，PUE值优于1.5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广州汇安科技有限公司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低浴比高温生态环保染色机高效节能低碳染整装备（技术）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针织布的前处理、染色、后处理。</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浴比高温生态环保染色机高效节能低碳染整装备（技术），以高效、节能、环保为目标，自主研发设计六大核心技术：可调流调压智能喷嘴系统、快速匀色横向染液循环系统、防褶痕智能控制横向后摆布技术、低浴比环保染色工艺精准在线检测控制技术、SOR智能水洗系统、无损高效蒸汽直加热降噪防震预备缸系统。低浴比高温生态环保染色机浴比低至1：4~4.8，实现高效节能环保染色，节省水、电、蒸汽及助剂，减少污染物排放，解决了传统染色机浴比大、能耗高、排放大等问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佛山市巴苏尼机械有限公司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万顺光控隔热膜</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既有建筑改造</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在原有玻璃表面贴覆光控隔热膜</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汕头万顺包装材料股份有限公司光电薄膜分公司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热电厂蒸汽余热在铅酸蓄电池生产设备中的高效利用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蒸汽余热利用</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利用蒸汽余热进行加热或利用减压蒸汽保湿</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肇庆理士电源技术有限公司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高效节能节材纵向流管壳式换热器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管壳式换热器</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以达到国内领先水平的鉴定成果变流场变结构工艺核心技术为基础，三维变空间变流场设计理念，消灭了传统的折流板，设计开发高效节能节材纵向流管壳式换热器，致力于提高设备传热效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率、降低运行阻力，提升企业的生产效率和市场竞争力。形成模块化、标准化的产品，实现综合节能 15-25%。在投资和运营成本等方面的综合效能优势明显，是传统设备最为理想的升级换代产品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中国科学院广州能源研究所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新型三维整体隐形翅片换热器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高温烟气介质换热</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高效传热机理，提高空气预热器的换热效率，降低锅炉排烟温度，提高锅炉热效率，减少燃料消耗量，间接减少碳排放量。所解决的关键技术：采用高效强化传热元件新型三维整体隐形翅片管；整体捆扎，防振动、防积灰、防磨损采用“都江堰”原理优化布管；采用“全逆流”结构，纵向冲刷，阻力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中国科学院广州能源研究所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新一代制冷用高效节能节材顺紊流换热器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制冷行业各类蒸发器和经济器</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以强化传热三维变形管作为换热管，基于非对称传热与变空间纵向扰流设计理念，应用冷凝与沸腾多通道技术和上下管程自支撑无折流板设计方法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中国科学院广州能源研究所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博依特企业（区域）能源管理中心</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工业企业能源系统的智慧管控</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技术采用云计算技术，工业数据采集技术、实时数据处理技术、大数据存储与分析技术等关键技术，通过实施生产、能耗、设备数据采集、数据驱动建模，对企业能量转换、利用和回收三环节实施动态监控、数据分析和预测，改进和优化以及能量平衡调配，实现能源管控的自动化和信息化，达到提高能效和节能的目的</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广州博依特智能信息科技有限公司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Z-Save电机相控节电器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电机节能：三相异步电机</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Z-SAVE相控智能节电器采用相位角检测与调压控制的关键技术，以电动机的工作电流和电压作为取样对象，自动跟踪、监测电机负载的变化，动态调整电机的供电电压，使产生磁场的能量与转矩的需求精确匹配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深圳市臻正志盟节能环保科技有限公司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水燃料技术与发电锅炉节能减排</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适用于工业水处理、凝结水（除盐水）精处理领域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提供一种工业锅炉汽/水循环系统的凝结水能量共振场精处理节能设备—ZDZN锅炉纳米环保节能器，达到锅水质量、蒸汽质量提高、锅炉效率提高及发电机组系统节能、增效。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广州市中南泵业有限公司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一体化太阳能路灯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绿色环保照明领域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太阳能最大功率跟踪的技术，以锂电池作为储能器件，通过智能算法对一体化太阳能路灯的电能消耗进行智能优化，提高了太阳能灯的充电效率和使用寿命，并通过市电补充技术，确保在任何工况全年不灭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广州普优照明科技有限公司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SCB13干式变压器</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广泛应用于10kv配电系统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环氧树脂浇注干式变压器具有防火防灾、免维护等优点，应用可减少涡流损耗更薄的、经激光处理改进晶粒结构降低磁滞损耗的新材料以及“单片5活7步进叠片”的新工艺，是一款低损耗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惠州市变压器设备有限公司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“节能岛” 磁悬浮中央空调机房节能改造</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建筑领域商用</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主要是集成高效磁悬浮冷水机技术、水泵变频技术、机房实时能效监测调控技术为一体，为中央空调机房冷源站COP的大幅度提升革命性的整体解决方案。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广州市铭汉科技股份有限公司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能效监控云平台</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工厂、学校、医院</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对设备进行实时监测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广州睿瞰能源技术有限公司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离心机能量回收装置</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使用离心机的工厂企业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对离心机能量进行回收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广州睿瞰能源技术有限公司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接点大数据智慧能源管控平台（BIMP-smart）</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工业企业 公共建筑</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建立大数据中心，对生产运行情况进行实时监控、预测与告警，并对数据进行分析与挖掘，实现管理节能减排，并通过系统发现改进机会，实施节能技术改造。</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广州接点智能科技有限公司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盘管蓄冰技术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有峰谷电价的蓄冷中央空调系统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夜间利用电力低谷段蓄冰，在用电高峰时期少开甚至不开主机，利用峰谷电价政策，达到为用户节约电费和移峰填谷的目的。</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湛蓝（广州）能效科技有限公司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太阳空气能热泵热水器智能控制系统</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城市热水供暖系统、大型酒店、宿舍楼、泳池、烘干场地等</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本技术在室外模块、室内模块及监控模块之间均采用无线通信方式，省去了安装布线的麻烦，减化了安装流程，对本发明的实现具有重要简化意义。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珠海中瑞环保科技有限公司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太阳空气能热水器智能远程监控系统</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热水供暖系统、家用热水器、太阳能热水器、热泵热水系统等。</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本技术实现了对水温、水温的连续测量与显示,上水与电辅热的自动控制。根据系统时钟分时段上水与电辅热,大大提高了太阳能的利用率,节约了电能。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珠海中瑞环保科技有限公司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太阳空气能热水器智能远程监控系统及监控方法</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热水供暖系统、家用热水器、太阳能热水器、热泵热水系统等。</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本技术不仅可以对热水器的工作状态进行显示、监控，还可以及时调节以提高热水器的工作效率，且在热水器故障时，可有效排除故障，减少故障率。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珠海中瑞环保科技有限公司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水冷直接制冷式空调机组</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地铁车站用空调制冷系统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 单机最高能效EER达到5.68，IPLV达到9.122.首创“小流量小压比”100RT磁悬浮压缩机，运行范围10%-100%。3.冷媒泄漏安全设计，全直流电控系统安全设计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珠海格力电器股份有限公司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固体绝缘铜包铝管母线</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输配电</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固体绝缘铜包铝管母线是利用集肤效应原理，以铜管在外、铝管在内的结构，增大了导体的有效通流截面，减小交流电阻，从而减少发热量，将导体温升降低至30K。主要内容如下：1、铜包铝管的特殊结构使导体温升由国标的50K降低至30K，从而降低线路电能损耗，比常规铜排母线，节约电能23.2%； 2、解决了因常规铜排母线的高温运行导致绝缘材料碳化线路短路而引起的火灾事故；3、节省铜材70%。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广东日昭电工有限公司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重型球磨机变频节能技术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陶瓷、水泥和采矿等行业球磨机</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建立有数据库，使球磨机针对不同性质物料，不同的球磨阶段均保持最佳的球磨效率转速，从而节能降耗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佛山市冠菱电子科技有限公司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磁悬浮鼓风机</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通用机械，适用于气体输送或物料输送的行业。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悬浮鼓风机是在传统鼓风机基础上应用了主动式磁悬浮轴承技术与永磁同步高速电机技术，并进行一体化设计的新型高效节能环保产品。1.内置电感式传感器检测出转轴位置。2.位移信号通过磁悬浮轴承控制器的信号处理及运算转变为控制电流。3.控制电流在磁悬浮轴承中形成相应的电磁场使转轴悬浮于稳定位置。4.电机通过变频器产生的可控电流，对电机定子产生驱动磁场，使其高速旋转。5.高速旋转的转轴带动叶轮从蜗壳进气口吸入空气。6.从而实现选定风量、风压输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佛山格尼斯磁悬浮技术有限公司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永磁伺服电机节能动力系统</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广泛用于工业，科研，高端设备 领域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大功率永磁同步伺服电机的制造技术;plc程序化控制技术；DCS联控技术；优化动力设备工艺流程技术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欧佩德伺服电机节能系统有限公司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大功率永磁同步超高效电机</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工业领域中建材、陶瓷、塑料、医药、化工、电器等</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电机采用稀土永磁同步转子代替鼠笼异步转子，无需励磁，转子无基波铁、无转子损耗和无功损耗，发热小，体积小，实现高效节能。永磁超高效电机与伺服控制和基于无线云端远程计量的控制集成，两步控制器配套集成CPU和GPRS无线通信技术，实现伺服驱动系统智能化和实时的能耗监控计量系统，在EPC节能改造工程，提供电机、控制、计量成套服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珠海市威望节能科技有限公司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冷热循环回收高效节能的空气除湿技术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电力、有色金属、石油石化、化工、食品、机械、纺织业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的空气干燥处理技术，采用制冷系统冷热搬迁，通过处理空气除湿处理过程，将制冷余热回收双利用。技术1、制冷系统在蒸发器段吸收空气的热量，将空气冷却到露点以下，水蒸气冷凝释出，在冷凝器段放热将空气加热升温，空气处理过程冷、热直接双利用，能源百分百回收和利用。2、为了提高冷热利用率，本设备设置了一套等焓冷热循环回收系统（超导管），在空气冷冻段后设置冷能回收器，通过此系统空气冷冻除湿能力、空气的加热提高了20-30%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珠海市威望节能科技有限公司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锅炉综合智能服务能源管理平台</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集中供热锅炉领域。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利用先进的传感采集技术、物联网、云计算、大数据、移动互联网技术，实现对企业锅炉运行状态进行全面远程监控，做出预警，使运行管理人员能够根据实际运行情况及时做出反馈</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广东汇嵘绿色能源股份有限公司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低温空气源热泵技术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低温采暖</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技术原理：通过提取环境空气中的热量作为 热源为房间供热，室内采暖末端多为散热器和地暖。关键技术：变频技术及喷气增焓技术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广州市中誉电器有限公司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基于云控技术的包覆式节能辊道窑</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建材行业，陶瓷工业窑炉领域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高稳高效高稳助燃风加热技术及相关配套烧嘴系统和管道系统，云控技术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广东中鹏热能科技有限公司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过冷水式动态制冰（动态冰蓄冷）技术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各种利用峰谷电价具有移峰填谷作用的蓄冷中央空调系统、蓄冷区域集中供冷系统、各种工艺冷却系统、食品渔业等冷藏保鲜、混凝土冷却等。</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采用板式换热器通过高效对流换热方式制取-2℃的过冷水，再促晶生成冰浆，该动态制冰方式把传热和结冰两个环节在时间和空间上分离，从而实现低温差高效率传热并结冰，大大降低制冰能耗。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中国科学院广州能源研究所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工业企业能源管理中心</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有色金属、钢铁、陶瓷等行业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根据有色行业、钢铁等行业工业企业能源应用特点，采用现代信息技术开发企业能源中心，对企业的主要能源,进行在线监控和管理控制，实现企业能效监测、能效分析、能耗对比、能耗对标等功能。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已推广比例2%.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广东中钰科技有限公司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工业节能减排全范围数字化管控技术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电力、水泥、钢铁、石化等流程工业领域的系统节能工程</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以在线仿真技术的仿真、控制、信息、通讯四位一体平台为基础，实现工业高精度全范围全物理过程在线仿真、在线分析、在线预警、在线寻优、故障诊断、状态分析、在线对标、在线能耗分析、管理优化等一系列的技术创新和精细化管理，达到工业生产的节能减排并实现最佳效益。</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广东亚仿科技股份有限公司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大规格陶瓷薄板节能技术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建材行业陶瓷工业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特制的陶瓷薄板成型装备，包括双活塞大吨位压机，无模腔布料系统，小辊距辊道窑，高效薄板抛光磨边线等，通过控制原料配方组成和烧成制度来生产超薄陶瓷。在保证生坯强度的基础上，把砖坯的厚度降低到3.5-5mm左右，实现节材节能的目的。</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广东科达机电股份有限公司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新一代节能铝-合成木复合型材技术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适用于民用和公共设施的建筑门窗幕墙用料。</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1）铝型材与合成木的复合接连技术。2）铝型材与合成木型材截面构造的优化设计。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3）铝-合成木隔热型材测试与评价体系的建立。</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广铝集团有限公司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冷暖辐射生活热水多功能一体化节能技术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制冷空调行业、辐射供冷暖系统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在一套机组上实现热泵空调、辐射供冷暖、生活热水功能，同时通过系统、控制优化设计以及辐射供冷暖技术，从机组自身以及末端设备联控两个角度降低能耗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珠海格力电器股份有限公司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工业厂房防锈隔热涂料降温节能技术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建材</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利用反射、辐射原理；隔热降温、节能降耗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广州保赐利化工有限公司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智能集成热湿分控中央空调系统节能技术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技术特征：1、强化中央空调系统热质传递过程，实现冷冻水能质的梯级利用，完成空气系统的热湿分控，保证室内更高的卫生条件；2、基于系统仿真和能耗诊断系统，实现空调水系统动态质调节和量调节，提高冷水机组运行的COP，节约运行能耗；3、基于在线检测技术和优化算法，实现调节环境温湿度参数的高精度控制，保持室内理想的热舒适环境；4、基于网络技术构建空调系统中各设备的运行监控平台，对系统运行过程实施动态管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广东迪奥技术工程有限公司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新型太阳能光热建筑一体化围护结构系统技术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适用于有较大热水需求的公共建筑、工业建筑和住宅小区等，替代传统的建筑外围护结构</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高效太阳能平板集热器的研究与改进；新型光热建筑围护结构的研发及与建筑的一体化集成；新型光热建筑围护结构系统的测试与应用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珠海兴业新能源科技有限公司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低品位热能驱动吸附式制冷技术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低品位热能温度高于60℃的场合，如太阳能、蒸汽余热等</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利用低品位热能驱动吸附式制冷设备工作提供冷量，以热制冷，替代常规电压缩式空调，有效降低制冷设备的能耗，达到节能减排的目的。</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中国科学院广州能源研究所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利用废蒸汽进行溴化锂制冷节能技术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适用于所有外排废蒸汽压力为(0.1～0.5)MPa的企业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将回收废蒸汽优先用于中央空调溴化锂制冷机的气源，控制车间或办公室的温湿度余下废蒸汽用于锅炉给水加热、除氧器给水除氧。2、将含杂质的废蒸汽通过汽水分离装置和过滤装置过滤处理后，利用回收的蒸汽用于补充溴化锂制冷机的气源，提高机组的制冷量，用于控制车间或办公室的温湿度。3、废蒸汽回收利用，改变传统回收和排凝方式，系统无疏水，排凝调温、调压设备热源全部回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广州市华南橡胶轮胎有限公司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液压成型装备的全闭环电液伺服节能技术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各种液压装备及液压动力装备系统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采用最新型的流量、压力双闭环矢量伺服驱动器控制永磁交流伺服电机，电机带动齿轮泵为系统提供压力油，结合压力、流量、位置全闭环控制, 最终维持系统的快、准、稳，达到设定的压力、速度和位置。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详见技术报告</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东莞华数节能科技有限公司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低压配电网新一代电能质量优化技术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低压配电网</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低压配电网新一代电能质量优化技术包括用户低压侧高效谐波治理技术和静止同步无功补偿技术。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详见技术报告</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深圳市英纳仕电气有限公司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中频感应加热炉的电能质量优化技术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钢铁、化工、有色金属</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通过对感应加热炉设备进行谐波治理和无功补偿，提高感应加热炉功率因数和降低感应加热炉产生的谐波功率，从而有效降低这类设备的线路损耗，提高电能利用率。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详见技术报告</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深圳市英纳仕电气有限公司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光伏直驱变频空调技术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适用于大型工商业、工厂、办公楼、工艺冷却等具有制冷需求的公共建筑场所</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光伏直驱变频空调技术，是三元换流技术、动态智能负载跟踪MPPT技术、PAWM交错控制技术、一体化智能管理技术的集成，实现光伏电能直接驱动空调机组，提高了光伏电能利用率。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详见技术报告</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珠海格力电器股份有限公司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空气源热泵供暖系统的开发与利用技术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建筑行业-别墅、酒店、学校、医院等。</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利用逆卡诺循环原理，将低位热源的热量传递到高位热源并加以利用。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详见技术报告</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佛山市顺德区光腾太阳能电器有限公司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永磁同步变频离心式热泵技术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轻工行业、民用住宅集中供热、厂房工业基地采暖、大型综合商用楼宇供热</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⑴“高压比”离心压缩机设计技术；⑵“双工况”优化设计技术；⑶高速电机直驱双级叶轮；⑷四象限可控整流技术。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详见技术报告</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珠海格力电器股份有限公司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中央空调节能管控技术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广泛应用于酒店、地铁、商场、百货、医院、科技园区等大型公共建筑领域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对中央空调控制系统的运行优化降低能耗水平、 保障设备运行质量和安全、降低能耗和运营成本</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详见技术报告</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广东省国粤节能产业研究院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陶瓷辊道窑热风增压助燃技术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本技术适用于新建设的陶瓷企业辊道窑炉中或应用于对现有窑炉的节能技术改造。</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辊道窑热风增压助燃技术，包括助燃热风增压、砖坯余热回收和双自控燃烧，从而提高燃烧完全程度，同时提高产品煅烧质量。另外，通过装备的改造，使间冷区的余热能被利用起来，进而充分利用了窑炉的余热，解决了行业上余热利用不充分的难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详见技术报告</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佛山市瑞陶达陶瓷机械设备有限公司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高温气流雾化染色机高效节能低碳染整装备技术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适用于所有纤维织物（除纯羊毛外）染色工序</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自主研发设计高温气流雾化染色机，采用气流雾化染色技术，其染色浴比低至1:2.8，实现节水、废液低排放的目标；采用气流与染液分离独立控制的技术，实现能耗的大幅降低，实现节能的目标。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广州番禺高勋染整设备制造有限公司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城市污泥破壁预处理深度干化处理技术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适用于中小型污水处理工序</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针对污泥的“双性”水分吸附特征而研发利用化学反应和物理破壁有效地把污泥固液分离，可把含水率80%的湿污泥作深度脱水至25%。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广州新大环保节能科技有限公司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大型火电机组的液耦调速电动给水泵的变频改造技术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主要应用在大型燃煤火力发电机组全配置锅炉液力耦合器调速的电动给水泵。</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对液力耦合器调速的电动给水泵采用一体化变频调速电动给水泵系统，将给水泵的转速调节方式由液力耦合器调节变为变频调节，消除了液力耦合器的滑差损失，并提高给水泵组的效率，从而减小给水泵的单耗。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广州智光节能有限公司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永磁同步电机伺服系统在球磨机节能改造应用技术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陶瓷等行业的球磨机等低速大扭矩负载。</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陶瓷球磨机采用永磁同步电机提高电动机及传动系统的效率，并结合原材料研磨过程调整磨机及滚筒转速，实现低耗高效研磨，实现系统节能。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广州智光节能有限公司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向心涡轮中低品位余能有机朗肯循环发电技术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6"/>
                <w:lang w:val="en-US" w:eastAsia="zh-CN" w:bidi="ar"/>
              </w:rPr>
              <w:t>建材、化工、冶金、窑炉等</w:t>
            </w:r>
            <w:r>
              <w:rPr>
                <w:rStyle w:val="7"/>
                <w:lang w:val="en-US" w:eastAsia="zh-CN" w:bidi="ar"/>
              </w:rPr>
              <w:t>，</w:t>
            </w:r>
            <w:r>
              <w:rPr>
                <w:rStyle w:val="6"/>
                <w:lang w:val="en-US" w:eastAsia="zh-CN" w:bidi="ar"/>
              </w:rPr>
              <w:t>80C以上工业余热及地热水</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回收中低品味余能，转化为高品质电能。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广东省南华节能和低碳发展研究院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数字化柔性输变电节能技术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低压输变电领域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时跟踪用电设备及输变电设备运行状态的变化，智能、快速地调解平衡功率、谐波抑制功率的投入量，始终把用电设备及输变电设备所需要的平衡功率、谐波抑制功率局限在用电设备的最终端，实现功率就地平衡，提高整个低压变配电网络的功率因数，有效地减少低压输配电线路的损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广东鹏鑫电气科技有限公司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起重机械势能及惯性能自循环回收利用技术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起重机械、矿山提升机械、电梯、地铁等</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采用储能技术将再生电能先回收储存，在机械电动运行中再将储存的再生电能释放回电控系统再利用。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中山润合能源科技有限公司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智能低耗全新风印刷烘干热泵技术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适用于印刷包装行业烘干工序</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目前印刷行业成本的5%-7%用于提供能源，其中70%用于印刷烘干工序，该部分的能源因废气直接排放而被浪费，因此印刷烘干的节能尤其重要；本项目以获第十七届中国专利奖-一种全新风印刷烘干机等成果为基础，将热泵应用于印刷烘干，全新风提高烘干速度，高温废气两次热回收，冷热联用，节能比例60%以上，废气回收精馏，并进行相关数学建模及仿真并运用到智能自动化控制中</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广东芬尼克兹节能设备有限公司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中央空调高效机房系统集成技术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水冷式中央空调系统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不同负荷开机控制策略，低负荷运行策略，水泵控制策略，机房智能化控制技术等</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广东汉维科技有限公司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基于人体热源的室内智能控制节能技术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商用及办公建筑室内系统</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本技术采用RF射频技术、红外技术对人体移动热源（即建筑内移动用能负荷）的监测，配合环境及气象参数采集、预置时间策略、用能管理策略与能耗数据分析模型构成的智能化室内节能控制系统。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广东优华物联智控科技股份有限公司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双源互补冷却节能技术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通信、冶金矿产、建筑、食品等行业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高密度蓄冷条件下实现自然冷源和电制冷冷源的互补供冷，实现自然冷源梯级利用，提高自然冷源利用阈值和利用率。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中国科学院广州能源研究所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蒸汽废热回收技术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化工、钢铁、有色金属、石油化工、制药、化肥、建材等行业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将冷凝水回收至闪蒸罐进行闪蒸，利用高参数的蒸汽通过抽汽加压机组，抽吸闪蒸罐内的蒸汽，使其达到生产装置的工艺用汽范围。</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广州盈运节能科技有限公司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废热蒸汽纯化增压装置WSR</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食品、酒类行业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将废热蒸汽当中的杂质分离出来，输出洁净蒸汽；通过蒸汽压缩技术将洁净蒸汽进行压缩，提高蒸汽的压力和温度，达到工艺需求的再生蒸汽。</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佛山市丰川节能科技有限公司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高端智能全模式染色机高效节能染整装备技术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纺织行业染整装备</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全模式染色技术，超低张力织物运行系统，独立可控的多模式喷嘴系统，基于染色模式控制的气液动力系统，具有反馈功能的中央控制系统。可实现一机全模式染色（气流雾化、气液分流、溢流染色模式），即一台染色机就可完成原来三台不同染色技术的染色机工作。适用染色布种范围超大，轻松覆盖高弹性高密度等高难度布种，低成本、高效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广州番禺高勋染整装备制造有限公司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建筑能效管理系统</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建筑节能行业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基于互联网和物联网建筑能耗监测管理系统。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&lt;5%</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广州智业节能科技有限公司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非对称相变换热技术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工业行业</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气体和液体的不等量的冷热交换。</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广州联聚节能技术有限公司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包装印刷无溶剂复合技术</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印刷行业、软包装印刷</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使用聚氨酯胶粘剂通过反应固化将不同基材粘结在一起，获得新的功能材料的工艺技术</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广州通泽机械有限公司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酒店智能化热泵冷热水设备</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宾馆、酒店、渡假村、学校、部队、医院、休闲中心、工厂、别墅、住宅等</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1、空气源系列热泵热水机的制热效率COP＞410%；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2、水源系列热泵热水机的制热效率COP＞450%；</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3、热水机组控制系列先进可靠，测量/传输系统准确度：±0.1%FS；温度漂移：＜0.005%F.S/℃; 电磁兼容：符合IEC61000-4-4:1995中所规定的第三类工业现场环境对产品的抗电磁干扰要求。</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广州科力新能源有限公司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节能型非晶合金电力变压器（SC(B)H15系列；S(B)H15-M系列）</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配电系统，电能不足或负荷波动大以及难以进行日常维护的地区，例如乡村广大电网</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符合GB1094.1~2 1996、GB1094.3-2003、GB1094.5-2008、GB1094.11-2008《电力变压器》标准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&lt;5%</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广州市番禺明珠电器有限责任公司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40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S13-M•R-30～1600/10 卷铁心全密封电力变压器</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广泛应用于10kV 的配电系统，凡容量满足使用要求便可选用，特别适用电能不足或负荷波动大以及难以进行日常维护的地区</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1、额定容量30-1600kVA（共17级）；2、电压组合高压6-11kV，低压0.41kV，高压分接范围±5%或±2*2.5%；3、联结组标号：Dyn11；4、空载损耗80-1170W（共17级）；5、负载损耗（120℃）630-145000W（共17级）；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6、短路阻抗4-6%。</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&lt;20%</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明珠电气有限公司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稀土永磁交流同步电动机ZQ600-12.5～ZQ2000-42</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工业各类机电拖动设备</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ZQ600-12.5：功率12.5kW，力矩600N.m，电流22A；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ZQ1000-21：功率21kW，力矩1000N.m，电流45A；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ZQ1500-31：功率31kW，力矩1500N.m，电流67A；</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ZQ2000-42：功率42kW，力矩2000N.m，电流80A</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&lt;5%</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开平市新东亚电机有限公司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电梯用永磁同步无齿轮曳引机（WTD系列）</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电梯</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永磁同步无齿轮曳引机转子为永磁结构，功率因数很高(可近似为1)，由于不存在电励磁，减少了定子电流和定子转子电阻的损耗，效率高(90～93%)，满载起动电流比异步减少一半</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&lt;2%</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广东合普动力科技有限公司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电动汽车、叉车用高效交流驱动电机（HPQ及HPB系列）</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电动叉车、高尔夫球车、电动汽车</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交流感应电动机在电动汽车上广为应用，这是因为感应电动机采用变频调速时，可以取消机械变速器，实现无级变速，使传动效率大为提高</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&lt;2%</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广东合普动力科技有限公司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JTMP节能绝缘复合管母线</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各领域电能的用户</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1.采用空心导体，导体是中空并做复合处理。节省铜材27%，节电35%。</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2.导体是中空的，减少导体的涡流发热，空气能在导体流动，有自然散热功能，导体温升低于30K(国际电工标准温升为70K).</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广州是日昭新技术应用有限公司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家用空调全铝平行流扁管换热器</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家用空调</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用高效全铝微通道换热器替换现有铜管翅片换热器，降低空调能耗，提高空调能效。</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广东美的制冷设备有限公司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高效环保型的太阳能建筑一体平板集热器</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广泛应用于新能源、建筑节能领域</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项目自研的高吸收低发射选择性吸收涂层有效的提高了太阳能利用效率，充分利用可再生能源。并通过规模化制作使太阳能热利用设备成为建筑构件，在实现较高的太阳能利用效率的同时能够与建筑完美结合。</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珠海兴业新能源科技有限公司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36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大容量高性能特种工业电源</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直接应用于大功率（100KW-1MW）有色金属冶炼、电化学等特种高耗能工业领域（电解、电镀、电泳、氧化、着色等），关键技术可推广应用于电力传动、UPS、材料加工、通信等众多工业领域</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2000A/15V-80000A/15V系列高频工业电源优化及产业化。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中国电器科学研究院有限公司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一种旋转式全自动铝棒加热炉</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主要应用于铝棒挤压前对其进行加热的铝棒加热炉</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1、封闭式内循环理论的研究；2、高保温性炉体结构设计</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中山市意利克机械设备有限公司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HR-50型农产品热泵干燥设备</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农业</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采用热泵除湿；闭式循环干燥方式，节约运行费用；无废气废热，无噪间污染，环保。</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广州德能热源设备有限公司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立体卷铁心变压器</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电力行业10kV～35kV电压等级变压器</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将传统变压器铁心平面结构改进为三角形立体结构，使变压器三相磁路平衡，缩短磁路、减少磁阻和消除磁通饱和区，从而达到节能和省材效果。</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广东海鸿变压器有限公司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超低浴比高温高压纱线染色机高效节能节水染整设备</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适用于各类纤维的纱线染色。</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（1）离心泵和轴流泵的三级叶轮泵结构技术，（2）短流程冲击式脉流染色技术，（3）可调流调压纱架（拉链架）装置，（4）小浴比智能环保染色工艺，实现超低浴比（全过程1：3）。</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广州番禺高勋染整设备制造有限公司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高温低浴比O型染色机高效节能节水染整装备</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适合处染米重200-1500g/m及以下的各类针织机梭织等布料染色</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自主研发设计高温低浴比O型染色机，采用智能控制系统和不同的布循环控制方式，实现低浴比（1：3.8）高效率染色，节省水、节省蒸汽，减少排放，解决了传统染色机浴比大、能耗高、排放大等问题。</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fldChar w:fldCharType="begin"/>
            </w:r>
            <w:r>
              <w:rPr>
                <w:rFonts w:hint="eastAsia" w:ascii="宋体" w:hAnsi="宋体" w:eastAsia="宋体" w:cs="宋体"/>
                <w:i w:val="0"/>
                <w:color w:val="000000"/>
                <w:kern w:val="0"/>
                <w:sz w:val="20"/>
                <w:szCs w:val="20"/>
                <w:u w:val="none"/>
                <w:lang w:val="en-US" w:eastAsia="zh-CN" w:bidi="ar"/>
              </w:rPr>
              <w:instrText xml:space="preserve"> HYPERLINK "http://www.baidu.com/link?url=bQUCfKwFVFMoqvTQLzCr57iS8PNiJpT8WR20Olgsv45JufWUTVP0NlNdt_FcitR9" </w:instrText>
            </w:r>
            <w:r>
              <w:rPr>
                <w:rFonts w:hint="eastAsia" w:ascii="宋体" w:hAnsi="宋体" w:eastAsia="宋体" w:cs="宋体"/>
                <w:i w:val="0"/>
                <w:color w:val="000000"/>
                <w:kern w:val="0"/>
                <w:sz w:val="20"/>
                <w:szCs w:val="20"/>
                <w:u w:val="none"/>
                <w:lang w:val="en-US" w:eastAsia="zh-CN" w:bidi="ar"/>
              </w:rPr>
              <w:fldChar w:fldCharType="separate"/>
            </w:r>
            <w:r>
              <w:rPr>
                <w:rFonts w:hint="eastAsia" w:ascii="宋体" w:hAnsi="宋体" w:eastAsia="宋体" w:cs="宋体"/>
                <w:i w:val="0"/>
                <w:color w:val="000000"/>
                <w:kern w:val="0"/>
                <w:sz w:val="20"/>
                <w:szCs w:val="20"/>
                <w:u w:val="none"/>
                <w:lang w:val="en-US" w:eastAsia="zh-CN" w:bidi="ar"/>
              </w:rPr>
              <w:t>广州番禺高勋染整设备制造有限公司</w:t>
            </w:r>
            <w:r>
              <w:rPr>
                <w:rFonts w:hint="eastAsia" w:ascii="宋体" w:hAnsi="宋体" w:eastAsia="宋体" w:cs="宋体"/>
                <w:i w:val="0"/>
                <w:color w:val="000000"/>
                <w:kern w:val="0"/>
                <w:sz w:val="20"/>
                <w:szCs w:val="20"/>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81"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XP-B节电控制装置</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XP-B节电控制装置使各行业所有工况的异步电动机侧的功率因数提高和保持为0.95以上</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XP-B节电控制装置通过实现0.52秒的无功柔性平衡技术，提高内网的功率因数，保持各种工况的异步电动机侧的功率因数为0.95以上；不产生新的高次谐波</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&lt;0.1%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广东中计南方计算机系统（工程）有限公司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屋顶隔热草（佛甲草）</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建筑屋顶</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屋顶隔热、治理雾霾，节能减排防尘降噪</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广州市增城绿创宝农业种植场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新型润滑油添加剂</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需要使用润滑油的机械设备（包括矿物油、合成油）</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提高所有润滑的油的质量并大大降低设备运作的摩擦系数</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&lt;0.1%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广州市万灵霸环保产品有限公司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润领力“凯明盛”润滑剂</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凡需要使用润滑油的机械设备上均可用（包括矿物油、合成油）</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提高所有润滑的油的质量并大大降低设备运作的摩擦系数</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&lt;0.1%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广州润领力节能科技有限公司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敞开式立体卷铁心干式变压器</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电力行业，10kV～20kV电压等级变压器</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将传统干式变压器铁心平面结构改进为三角形立体结构，同时采用美国UL认可的NOMEX纸与德国艾伦塔斯浸漆组成先进的混合绝缘系统</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海鸿电气有限公司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6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基于双级增焓变频压缩机的空气源热泵</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轻工行业、民用及商用等有制热需求的场所</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该技术将经过一级节流后的制冷剂通过闪发，补入压缩机的二级吸气，用以提高系统焓差，进而提高系统制热性能。通过双级增焓变频压缩机技术、变频控制技术、能效比自动优化技术，解决了普通单级压缩系统运行范围窄、在恶劣工况下性能差的行业难题，提升了热泵空调和热泵热水器的能力和能效水平。</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珠海格力电器股份有限公司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2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高效热能回收稳压器HPR</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药厂、化工厂浓缩蒸发，啤酒厂煮沸蒸发</w:t>
            </w:r>
          </w:p>
        </w:tc>
        <w:tc>
          <w:tcPr>
            <w:tcW w:w="70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将蒸发产生的低压蒸汽压缩升温后返回设备重新利用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佛山市丰川节能科技有限公司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2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智能型商用燃气节能灶</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餐饮、单位饭堂</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智能燃烧等7项首创技术</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(1000台套）</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江门市五秒旺节能技术开发有限公司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优选共晶滚球润滑材料</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适用各类需要润滑油的设备</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使滑动摩擦变为滚动摩擦的润滑减磨机理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&lt;5%</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广州润昱节能科技有限公司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多级预混合燃烧节能灶</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适用于各种燃气灶具、燃气锅炉</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全混合燃烧技术，混合燃烧中的空气压力远高于燃气供气压力的核心技术，实现供风压力达10KPa以上，而供气压力可控制于2.8KPa以下。B、喷气式燃气炉头二次供氧技术，独特的结构设计保障了项目产品具备燃烧的火焰温度较高，热量散。C、免高温长明火装置设计，实现炉灶长时间使用而表面温度控制在合理区间，保障产品使用过程的安全。</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河源市鸿铭厨房设备有限公司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00"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2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热超导陶瓷涂层</w:t>
            </w:r>
          </w:p>
        </w:tc>
        <w:tc>
          <w:tcPr>
            <w:tcW w:w="14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电力、石油石化、化工、钢铁、有色、建材、民用、军事等</w:t>
            </w:r>
          </w:p>
        </w:tc>
        <w:tc>
          <w:tcPr>
            <w:tcW w:w="7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通过使用“热超导陶瓷涂层”新材料对基层表面进行改性，使得换热面吸热和传热能力大幅提高，从根源上提高换热效率，从而实现节能</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&lt;1%</w:t>
            </w:r>
          </w:p>
        </w:tc>
        <w:tc>
          <w:tcPr>
            <w:tcW w:w="15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江门市华材新材料股份有限公司</w:t>
            </w:r>
          </w:p>
        </w:tc>
      </w:tr>
    </w:tbl>
    <w:p>
      <w:pPr>
        <w:adjustRightInd w:val="0"/>
        <w:snapToGrid w:val="0"/>
        <w:spacing w:line="360" w:lineRule="auto"/>
        <w:rPr>
          <w:rFonts w:hint="eastAsia"/>
          <w:color w:val="000000"/>
          <w:lang w:eastAsia="zh-CN"/>
        </w:rPr>
        <w:sectPr>
          <w:footerReference r:id="rId3" w:type="first"/>
          <w:pgSz w:w="16838" w:h="11906" w:orient="landscape"/>
          <w:pgMar w:top="1418" w:right="1474" w:bottom="1418" w:left="1474" w:header="851" w:footer="992" w:gutter="0"/>
          <w:cols w:space="720" w:num="1"/>
          <w:titlePg/>
          <w:docGrid w:type="lines" w:linePitch="312" w:charSpace="0"/>
        </w:sectPr>
      </w:pPr>
    </w:p>
    <w:p>
      <w:pPr>
        <w:jc w:val="left"/>
        <w:rPr>
          <w:rFonts w:hint="eastAsia" w:ascii="宋体" w:hAnsi="宋体" w:eastAsia="宋体" w:cs="宋体"/>
          <w:color w:val="000000" w:themeColor="text1"/>
          <w:sz w:val="28"/>
          <w:szCs w:val="28"/>
          <w:lang w:val="en-US" w:eastAsia="zh-CN"/>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F438F9"/>
    <w:rsid w:val="10197EC3"/>
    <w:rsid w:val="165A0F45"/>
    <w:rsid w:val="2EC01808"/>
    <w:rsid w:val="31834987"/>
    <w:rsid w:val="38D055CA"/>
    <w:rsid w:val="437533A8"/>
    <w:rsid w:val="4F1049FE"/>
    <w:rsid w:val="4F33371B"/>
    <w:rsid w:val="534F6955"/>
    <w:rsid w:val="5E8474F8"/>
    <w:rsid w:val="644B74A6"/>
    <w:rsid w:val="78BC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eastAsia="宋体"/>
      <w:kern w:val="2"/>
      <w:sz w:val="18"/>
      <w:szCs w:val="18"/>
      <w:lang w:val="en-US" w:eastAsia="zh-CN" w:bidi="ar-SA"/>
    </w:rPr>
  </w:style>
  <w:style w:type="character" w:styleId="4">
    <w:name w:val="Hyperlink"/>
    <w:basedOn w:val="3"/>
    <w:qFormat/>
    <w:uiPriority w:val="0"/>
    <w:rPr>
      <w:color w:val="0000FF"/>
      <w:u w:val="single"/>
    </w:rPr>
  </w:style>
  <w:style w:type="character" w:customStyle="1" w:styleId="6">
    <w:name w:val="font31"/>
    <w:basedOn w:val="3"/>
    <w:qFormat/>
    <w:uiPriority w:val="0"/>
    <w:rPr>
      <w:rFonts w:hint="eastAsia" w:ascii="宋体" w:hAnsi="宋体" w:eastAsia="宋体" w:cs="宋体"/>
      <w:color w:val="000000"/>
      <w:sz w:val="20"/>
      <w:szCs w:val="20"/>
      <w:u w:val="none"/>
    </w:rPr>
  </w:style>
  <w:style w:type="character" w:customStyle="1" w:styleId="7">
    <w:name w:val="font01"/>
    <w:basedOn w:val="3"/>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14147</Words>
  <Characters>15154</Characters>
  <Lines>0</Lines>
  <Paragraphs>0</Paragraphs>
  <TotalTime>5</TotalTime>
  <ScaleCrop>false</ScaleCrop>
  <LinksUpToDate>false</LinksUpToDate>
  <CharactersWithSpaces>15467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2019-10-22T09:14:15Z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