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bookmarkStart w:id="10" w:name="_GoBack"/>
      <w:bookmarkEnd w:id="1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rPr>
          <w:rFonts w:hint="eastAsia" w:ascii="宋体" w:hAnsi="宋体"/>
          <w:b/>
          <w:sz w:val="36"/>
          <w:szCs w:val="36"/>
        </w:rPr>
      </w:pPr>
    </w:p>
    <w:p>
      <w:pPr>
        <w:spacing w:line="560" w:lineRule="exact"/>
        <w:rPr>
          <w:rFonts w:hint="eastAsia" w:ascii="宋体" w:hAnsi="宋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广东省首台（套）重大技术装备推广应用指导目录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（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2015年版</w:t>
      </w:r>
      <w:r>
        <w:rPr>
          <w:rFonts w:hint="eastAsia" w:ascii="宋体" w:hAnsi="宋体"/>
          <w:b/>
          <w:sz w:val="52"/>
          <w:szCs w:val="52"/>
          <w:lang w:eastAsia="zh-CN"/>
        </w:rPr>
        <w:t>）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 w:val="30"/>
          <w:szCs w:val="30"/>
        </w:rPr>
        <w:t>2015年</w:t>
      </w:r>
      <w:r>
        <w:rPr>
          <w:rFonts w:hint="eastAsia" w:ascii="宋体" w:hAnsi="宋体"/>
          <w:sz w:val="30"/>
          <w:szCs w:val="30"/>
          <w:lang w:val="en-US" w:eastAsia="zh-CN"/>
        </w:rPr>
        <w:t>12</w:t>
      </w:r>
      <w:r>
        <w:rPr>
          <w:rFonts w:hint="eastAsia" w:ascii="宋体" w:hAnsi="宋体"/>
          <w:sz w:val="30"/>
          <w:szCs w:val="30"/>
        </w:rPr>
        <w:t>月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目  录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TOC \o "1-3" \h \z \u</w:instrText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"_Toc428800408"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1.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新能源发电装备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_Toc428800408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"_Toc428800409"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2.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输变电装备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_Toc428800409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"_Toc428800410"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3.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成形及加工专用装备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"_Toc428800411"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4.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电子及医疗专用装备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"_Toc428800412"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5.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汽车及轨道交通装备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"_Toc428800413"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6.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船舶及海洋工程装备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"_Toc428800414"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7.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新型轻工机械装备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"_Toc428800415"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8.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农业机械装备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"_Toc428800416"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9.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施工机械装备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5"/>
        <w:tabs>
          <w:tab w:val="right" w:leader="dot" w:pos="13948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"_Toc428800417"</w:instrText>
      </w:r>
      <w:r>
        <w:rPr>
          <w:rStyle w:val="10"/>
          <w:color w:val="auto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0"/>
          <w:rFonts w:ascii="宋体" w:hAnsi="宋体"/>
          <w:b/>
          <w:color w:val="auto"/>
          <w:sz w:val="28"/>
          <w:szCs w:val="28"/>
          <w:lang/>
        </w:rPr>
        <w:t>10.</w:t>
      </w:r>
      <w:r>
        <w:rPr>
          <w:rStyle w:val="10"/>
          <w:rFonts w:hint="eastAsia" w:ascii="宋体" w:hAnsi="宋体"/>
          <w:b/>
          <w:color w:val="auto"/>
          <w:sz w:val="28"/>
          <w:szCs w:val="28"/>
          <w:lang/>
        </w:rPr>
        <w:t>重大技术装备配套总成或核心部件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_Toc428800417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  <w:sectPr>
          <w:headerReference r:id="rId4" w:type="default"/>
          <w:footerReference r:id="rId5" w:type="default"/>
          <w:pgSz w:w="16838" w:h="11906" w:orient="landscape"/>
          <w:pgMar w:top="1803" w:right="1440" w:bottom="1803" w:left="1440" w:header="851" w:footer="992" w:gutter="0"/>
          <w:paperSrc/>
          <w:pgNumType w:start="1"/>
          <w:cols w:space="720" w:num="1"/>
          <w:rtlGutter w:val="0"/>
          <w:docGrid w:type="lines" w:linePitch="319" w:charSpace="0"/>
        </w:sectPr>
      </w:pPr>
    </w:p>
    <w:p>
      <w:pPr>
        <w:spacing w:after="156" w:afterLines="50" w:line="560" w:lineRule="exact"/>
        <w:jc w:val="left"/>
        <w:outlineLvl w:val="0"/>
        <w:rPr>
          <w:rFonts w:hint="eastAsia" w:ascii="宋体" w:hAnsi="宋体"/>
          <w:b/>
          <w:sz w:val="24"/>
          <w:szCs w:val="24"/>
        </w:rPr>
      </w:pPr>
      <w:bookmarkStart w:id="0" w:name="_Toc428800408"/>
      <w:r>
        <w:rPr>
          <w:rFonts w:hint="eastAsia" w:ascii="宋体" w:hAnsi="宋体"/>
          <w:b/>
          <w:sz w:val="24"/>
          <w:szCs w:val="24"/>
        </w:rPr>
        <w:t>1.新能源发电装备</w:t>
      </w:r>
      <w:bookmarkEnd w:id="0"/>
    </w:p>
    <w:tbl>
      <w:tblPr>
        <w:tblStyle w:val="12"/>
        <w:tblW w:w="149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核电设备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干式移相变压器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单台产品容量≥7000kVA；二次侧各绕组副边移相角偏差≤0.8°；同组绕组间电阻不平衡率≤2%；效率≥99%(自冷方式时)；设计寿命≥60年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风电设备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低风速风力发电机组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额定功率≥2MW；上风向；设计等级：IEC S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1.2.2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混合驱动型风力发电机组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额定功率≥3MW；下风向；设计等级：IEC Ⅲ B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1.2.3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风力发电用立体卷铁心变压器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额定容量：1600</w:t>
            </w:r>
            <w:r>
              <w:rPr>
                <w:rFonts w:ascii="宋体" w:hAnsi="宋体"/>
                <w:kern w:val="0"/>
                <w:szCs w:val="21"/>
              </w:rPr>
              <w:t>kVA</w:t>
            </w:r>
            <w:r>
              <w:rPr>
                <w:rFonts w:hint="eastAsia" w:ascii="宋体" w:hAnsi="宋体"/>
                <w:kern w:val="0"/>
                <w:szCs w:val="21"/>
              </w:rPr>
              <w:t>～2350</w:t>
            </w:r>
            <w:r>
              <w:rPr>
                <w:rFonts w:ascii="宋体" w:hAnsi="宋体"/>
                <w:kern w:val="0"/>
                <w:szCs w:val="21"/>
              </w:rPr>
              <w:t>kVA</w:t>
            </w:r>
            <w:r>
              <w:rPr>
                <w:rFonts w:hint="eastAsia" w:ascii="宋体" w:hAnsi="宋体"/>
                <w:kern w:val="0"/>
                <w:szCs w:val="21"/>
              </w:rPr>
              <w:t>；空载损耗：1360W～1920W；负载损耗：17100W～22800W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光伏设备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1.3.1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光伏直驱变频离心机系统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光伏直驱利用率≥99%；实时切换五种工作模式（纯空调、纯光伏、光伏空调、双向供电、混合供电）的发用电状态；系统内能量动态切换时间≤10ms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1.3.2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光伏发电用立体卷铁心变压器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额定容量：1000</w:t>
            </w:r>
            <w:r>
              <w:rPr>
                <w:rFonts w:ascii="宋体" w:hAnsi="宋体"/>
                <w:kern w:val="0"/>
                <w:szCs w:val="21"/>
              </w:rPr>
              <w:t>kVA</w:t>
            </w:r>
            <w:r>
              <w:rPr>
                <w:rFonts w:hint="eastAsia" w:ascii="宋体" w:hAnsi="宋体"/>
                <w:kern w:val="0"/>
                <w:szCs w:val="21"/>
              </w:rPr>
              <w:t>～1250</w:t>
            </w:r>
            <w:r>
              <w:rPr>
                <w:rFonts w:ascii="宋体" w:hAnsi="宋体"/>
                <w:kern w:val="0"/>
                <w:szCs w:val="21"/>
              </w:rPr>
              <w:t>kVA</w:t>
            </w:r>
            <w:r>
              <w:rPr>
                <w:rFonts w:hint="eastAsia" w:ascii="宋体" w:hAnsi="宋体"/>
                <w:kern w:val="0"/>
                <w:szCs w:val="21"/>
              </w:rPr>
              <w:t>；空载损耗：1040W～1430W；负载损耗：12350W～15200W；油顶部温升≤50K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1.3.3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并网光伏发电专用逆变器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最大光伏阵列开路电压≥50</w:t>
            </w:r>
            <w:r>
              <w:rPr>
                <w:rFonts w:ascii="宋体" w:hAnsi="宋体"/>
                <w:kern w:val="0"/>
                <w:szCs w:val="21"/>
              </w:rPr>
              <w:t>0V</w:t>
            </w:r>
            <w:r>
              <w:rPr>
                <w:rFonts w:hint="eastAsia" w:ascii="宋体" w:hAnsi="宋体"/>
                <w:kern w:val="0"/>
                <w:szCs w:val="21"/>
              </w:rPr>
              <w:t>；MPPT电压范围：</w:t>
            </w:r>
            <w:r>
              <w:rPr>
                <w:rFonts w:ascii="宋体" w:hAnsi="宋体"/>
                <w:kern w:val="0"/>
                <w:szCs w:val="21"/>
              </w:rPr>
              <w:t>170V</w:t>
            </w:r>
            <w:r>
              <w:rPr>
                <w:rFonts w:hint="eastAsia" w:ascii="宋体" w:hAnsi="宋体"/>
                <w:kern w:val="0"/>
                <w:szCs w:val="21"/>
              </w:rPr>
              <w:t>～</w:t>
            </w:r>
            <w:r>
              <w:rPr>
                <w:rFonts w:ascii="宋体" w:hAnsi="宋体"/>
                <w:kern w:val="0"/>
                <w:szCs w:val="21"/>
              </w:rPr>
              <w:t>480V</w:t>
            </w:r>
            <w:r>
              <w:rPr>
                <w:rFonts w:hint="eastAsia" w:ascii="宋体" w:hAnsi="宋体"/>
                <w:kern w:val="0"/>
                <w:szCs w:val="21"/>
              </w:rPr>
              <w:t>；额定输出电压：</w:t>
            </w:r>
            <w:r>
              <w:rPr>
                <w:rFonts w:ascii="宋体" w:hAnsi="宋体"/>
                <w:kern w:val="0"/>
                <w:szCs w:val="21"/>
              </w:rPr>
              <w:t>230V</w:t>
            </w:r>
            <w:r>
              <w:rPr>
                <w:rFonts w:hint="eastAsia" w:ascii="宋体" w:hAnsi="宋体"/>
                <w:kern w:val="0"/>
                <w:szCs w:val="21"/>
              </w:rPr>
              <w:t>±</w:t>
            </w:r>
            <w:r>
              <w:rPr>
                <w:rFonts w:ascii="宋体" w:hAnsi="宋体"/>
                <w:kern w:val="0"/>
                <w:szCs w:val="21"/>
              </w:rPr>
              <w:t>10%</w:t>
            </w:r>
            <w:r>
              <w:rPr>
                <w:rFonts w:hint="eastAsia" w:ascii="宋体" w:hAnsi="宋体"/>
                <w:kern w:val="0"/>
                <w:szCs w:val="21"/>
              </w:rPr>
              <w:t>；额定输出电流：26A～65A；额定输出功率≥45k</w:t>
            </w:r>
            <w:r>
              <w:rPr>
                <w:rFonts w:ascii="宋体" w:hAnsi="宋体"/>
                <w:kern w:val="0"/>
                <w:szCs w:val="21"/>
              </w:rPr>
              <w:t>W</w:t>
            </w:r>
            <w:r>
              <w:rPr>
                <w:rFonts w:hint="eastAsia" w:ascii="宋体" w:hAnsi="宋体"/>
                <w:kern w:val="0"/>
                <w:szCs w:val="21"/>
              </w:rPr>
              <w:t>；转换效率≥94%（10%负载）；MPPT跟踪精度≥99.9%；功率因数≥0.99（10%额定并网功率）；并网谐波电流≤3%（10%额定并网功率）；日常工作输出效率≥</w:t>
            </w:r>
            <w:r>
              <w:rPr>
                <w:rFonts w:ascii="宋体" w:hAnsi="宋体"/>
                <w:kern w:val="0"/>
                <w:szCs w:val="21"/>
              </w:rPr>
              <w:t>94%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1" w:name="_Toc428800409"/>
      <w:r>
        <w:rPr>
          <w:rFonts w:hint="eastAsia" w:ascii="宋体" w:hAnsi="宋体"/>
          <w:b/>
          <w:sz w:val="24"/>
          <w:szCs w:val="24"/>
        </w:rPr>
        <w:t>2.输变电装备</w:t>
      </w:r>
      <w:bookmarkEnd w:id="1"/>
    </w:p>
    <w:tbl>
      <w:tblPr>
        <w:tblStyle w:val="12"/>
        <w:tblW w:w="147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油浸式立体卷铁心变压器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额定容量≥</w:t>
            </w:r>
            <w:r>
              <w:rPr>
                <w:rFonts w:ascii="宋体" w:hAnsi="宋体"/>
                <w:kern w:val="0"/>
                <w:szCs w:val="21"/>
              </w:rPr>
              <w:t>40000kVA</w:t>
            </w:r>
            <w:r>
              <w:rPr>
                <w:rFonts w:hint="eastAsia" w:ascii="宋体" w:hAnsi="宋体"/>
                <w:kern w:val="0"/>
                <w:szCs w:val="21"/>
              </w:rPr>
              <w:t>；空载损耗≤21kW；负载损耗≤135kW；空载电流≤0.07%；噪声≤56dB(A)；局部放电≤50PC；油面温升≤39K；高压绕组温升≤46K；低压绕组温升≤46K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非晶合金立体卷铁心变压器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额定容量：30</w:t>
            </w:r>
            <w:r>
              <w:rPr>
                <w:rFonts w:ascii="宋体" w:hAnsi="宋体"/>
                <w:kern w:val="0"/>
                <w:szCs w:val="21"/>
              </w:rPr>
              <w:t>kVA</w:t>
            </w:r>
            <w:r>
              <w:rPr>
                <w:rFonts w:hint="eastAsia" w:ascii="宋体" w:hAnsi="宋体"/>
                <w:kern w:val="0"/>
                <w:szCs w:val="21"/>
              </w:rPr>
              <w:t>～1600</w:t>
            </w:r>
            <w:r>
              <w:rPr>
                <w:rFonts w:ascii="宋体" w:hAnsi="宋体"/>
                <w:kern w:val="0"/>
                <w:szCs w:val="21"/>
              </w:rPr>
              <w:t>kVA</w:t>
            </w:r>
            <w:r>
              <w:rPr>
                <w:rFonts w:hint="eastAsia" w:ascii="宋体" w:hAnsi="宋体"/>
                <w:kern w:val="0"/>
                <w:szCs w:val="21"/>
              </w:rPr>
              <w:t>；负载损耗：540～13050W；空载电流：0.12%～0.28%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高压站用变复合电压互感器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最高电压≥550kV；额定电压≥525kV；作电压互感器用时容量≥0.5级/200VA；作变压器用时容量≥300kVA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2" w:name="_Toc428800410"/>
      <w:r>
        <w:rPr>
          <w:rFonts w:hint="eastAsia" w:ascii="宋体" w:hAnsi="宋体"/>
          <w:b/>
          <w:sz w:val="24"/>
          <w:szCs w:val="24"/>
        </w:rPr>
        <w:t>3.成形及加工专用装备</w:t>
      </w:r>
      <w:bookmarkEnd w:id="2"/>
    </w:p>
    <w:tbl>
      <w:tblPr>
        <w:tblStyle w:val="12"/>
        <w:tblW w:w="14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金属加工通用设备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数控精密高效全自动冲压生产线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行程（X轴）：150mm～800mm；夹料行程（Y轴）：40mm～140mm；提升行程（Z轴）：30mm～120mm；最大生产速度≥12次/分钟；送料精度：±0.2mm；最高移动速度≥80m/min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闭式精密高效压力机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公称力≥6000kN；滑块行程≥650mm；滑块行程次数≥20次/分钟；工作台尺寸≥3500mm×1500mm；移动工作台复位精度：±0.05mm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数控精密液压机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公称力≥105000kN；工作台工进速度≥3.0mm/s；工作台回程速度≥110mm/s；工作台下行速度≥70mm/s；液体最大工作压力≥52MPa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成型炊具自动液压机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公称压制力≥48000kN；动梁最大行程≥400mm；加工效率≥12个/分钟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高效智能压铸岛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锁模力≥35000kN；系统响应时间≤50ms；空循环周期≤60s；压铸件合格率≥98%；压铸循环周期≤120s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塑料加工专用设备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二板式塑料注射成型机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锁模力≥4000t；容模量≥1000mm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导光板用塑料注射成型机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注射压力≥3500kg/cm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；螺杆前进速度≥1000mm/s；可成型厚度≤0.3mm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高效多层片材挤出设备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最大片材宽度≥800mm；片材厚度：0.3mm～2.0mm；挤出量≥350kg/h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全自动吸塑成型冲切一体机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成型深度≤150mm；最大片材宽度≥800mm；片材厚度：0.25mm～0.8mm；成型速度≥15次/分钟；耗气量≤0.3m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/h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农用生态型斑马膜智能成套装备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制品厚度：0.012mm～0.10mm；制品最大幅宽≥2650mm；制品厚薄均匀度：±3.5%（0.012mm～0.040mm范围内）、±2.5%（0.041mm ～0.10mm范围内）；最大生产能力≥850kg/h；牵引最高线速度≥200m/min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高速宽幅CPE透气膜生产线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厚度范围：14g/m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～40g/m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；收卷机上的膜宽≥2200mm；最大收卷直径≥650mm；产量≥3000吨/年；拉伸比（纵向）：1:1～1:3；最快机械线速度≥250m/min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多流道PVB隔音隔热玻璃夹层膜生产线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模头幅宽≥2850mm；可生产的胶膜厚度范围：0.38mm～1.14mm；最大卷取直径≥600毫米/卷；最大设计机械线速度≥20m/min；挤出量≥500kg/h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精密快速注射成型机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开锁模干周期≤3.0s；四拉杆锁模力均匀性偏差≤±0.005；开模位置重复精度偏差≤±0.2mm；射胶转保压位置精度偏差≤±0.1mm；保压终点位置精度偏差≤±0.1mm；射胶速度≥250mm/s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3.2.9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大型三色注塑成型机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锁模力≥1500t；容模量≥1100mm；注射重复精度≤0.3%；转盘直径≥2.0m，重复定位精度≤0.02mm；理论塑化能力：≥240kg/h(主射台)、≥90kg/h(副射台)、≥125kg/h(侧射台)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陶瓷生产专用设备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3.3.1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陶瓷砖自动液压机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压制力≥25000kN；空循环次数≥14min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-1</w:t>
            </w:r>
            <w:r>
              <w:rPr>
                <w:rFonts w:hint="eastAsia" w:ascii="宋体" w:hAnsi="宋体"/>
                <w:kern w:val="0"/>
                <w:szCs w:val="21"/>
              </w:rPr>
              <w:t>；立柱净间距≥1600mm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3.3.2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墙地砖自动化成套包装设备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产能≥14000m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/24h（30片/分钟）；总耗气量≤400L/min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3.3.3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串联式陶瓷连续球磨系统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额定高压装机电量≥2800kW；实际运营电耗≤1680kW；出浆口配置往复式对极高梯度磁选机（场强24000Gauss）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建材生产专用设备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3.4.1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耐火砖自动液压机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压制力≥25000kN；最大压制频率≥5.0次/分钟；主缸行程≥760mm；成品率≥99%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3.4.2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玻璃双边磨边机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最小加工玻璃尺寸≥250mm×250mm；最大加工玻璃尺寸≥1500mm×1500mm；加工厚度：0.7mm～6.0mm；对角线误差允差≤0.5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35橡胶加工专用设备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3.5.1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高温硫化硅橡胶全自动生产线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产能≥800kg/h；计量输送的计量精度：±0.3%；单位能耗≤175k</w:t>
            </w:r>
            <w:r>
              <w:rPr>
                <w:rFonts w:ascii="宋体" w:hAnsi="宋体"/>
                <w:kern w:val="0"/>
                <w:szCs w:val="21"/>
              </w:rPr>
              <w:t>W·h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/t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3.5.2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中性及酸性透明密封胶全自动生产线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产能≥1900kg/h；单位能耗≤250k</w:t>
            </w:r>
            <w:r>
              <w:rPr>
                <w:rFonts w:ascii="宋体" w:hAnsi="宋体"/>
                <w:kern w:val="0"/>
                <w:szCs w:val="21"/>
              </w:rPr>
              <w:t>W·h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/t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石材加工专用设备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3.6.1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桥式自动切割机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刀片直径≥350mm；纵向切割最大距离≥3200mm；刀具升降最大行程≥230mm；切割厚度≥80mm；工作台可翻转角度：0～85°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3.6.2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全自动连续磨抛机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加工板材宽度≥2000mm；最大磨板速度≥3.2m/min；磨板光泽度≥97；耗水量≤18m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/h；耗气量≤320L/min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冶金专用设备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3.7.1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铝型材挤压双牵引机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总挤压力≥2000t；牵引力≥300kg；回程速度≥240m/min；夹料截面尺寸≥180mm×500mm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3.7.2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铝合金带材光整机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轧制成型宽度≥1250mm；轧制成型厚度：0.1mm～5.0mm；四辊和两辊轧制方式自由转换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3.7.3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铝材热轧机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一次轧制成型宽度≥1500mm；一次轧制成型厚度≥500mm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3.7.4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铝天花板成型生产线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成品规格≥600mm×600mm；产能≥18件/分钟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数控机床及系统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智能数控钻攻加工中心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主轴最高转速≥24000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；X/Y/Z行程≥500/400/330mm；定位精度≤0.006mm；重复定位精度≤0.004mm；主轴定位精度≤3″；主轴重复定位精度≤2″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曲轴自动化连线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整机速度≥12秒/件；轴进给精度≤0.01mm；轴行走速度≥2.0m/s；偏心轴寻位精度≤0.02mm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数控切割机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切割速度≥80cm/s；切割厚度：0.2mm～6.0mm；刀笔重合度≤0.07mm；切割尺寸偏差≤0.1mm；切割线条重复性≤0.07mm；对称度＜0.1mm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3.8.4</w:t>
            </w:r>
          </w:p>
        </w:tc>
        <w:tc>
          <w:tcPr>
            <w:tcW w:w="4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龙门式加工中心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1、动柱式加工中心：工作台尺寸≥8000mm×1200mm；X轴定位精度≤0.06mm（全长）；X轴重复定位精度≤0.03mm；Y、Z轴定位精度≤±0.015/1000mm；Y、Z轴重复定位精度≤±0.008/1000mm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2、五轴五联动加工中心：工作台尺寸≥3500 mm×8000mm；X/Y/Z定位精度≤±0.005/300mm；X/Y/Z重新定位精度≤±0.008mm/±0.006mm/±0.005mm；高精度5轴和5面加工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智能钢化玻璃生产线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厚度范围：2.85mm～19mm；成品率(在连续批量生产条件下平钢)≥98%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数控木工曲线锯床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36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最大加工厚度≥250mm；最小转变半径≤80mm/95mm；旋转轴转角：±90º；X轴、Y轴最大速度≥40m/min；B、C轴最大速度≥180°/sec.3；加工速度：1.0m/min～25m/min；回程速度：6.0m/min～40m/min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数控冷凝器折弯机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加工工件最大宽度≥1650mm；设备加工直线精度≤±1.0mm；设备折弯角度精度≤±1°；生产节拍≤1.0分钟/件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数控开料管端弯管冲孔一体机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加工长度≥2800mm；加工管径≥25mm；管端换模方式：圆盘换模6工位；开料精度≤±0.4mm；生产节拍（带冲孔）≤15秒/件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3.8.9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蛇形弯管开料一体机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开料长度≥7.5m；开料公差≤±2.0mm（开料长度＜10m）；管口内径缩口率≤30%；生产节拍≤6.5秒/弯；送料公差≤±0.5mm；送料速度≥1000mm/s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3.8.10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多工位套环机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管口变形率≤3%；套环后中心距精度≤±0.05mm；套环深度：5.0±1.0mm；生产能力≥120个/分钟；分度精度：±1°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高速精密数控冲床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最大冲压能力≥300t；冲压行程≥30mm；最大行程数≥500spm；最大模高≥420mm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数控折弯机组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工作台尺寸≥300</w:t>
            </w:r>
            <w:r>
              <w:rPr>
                <w:rFonts w:ascii="宋体" w:hAnsi="宋体"/>
                <w:kern w:val="0"/>
                <w:szCs w:val="21"/>
              </w:rPr>
              <w:t>00mm×</w:t>
            </w:r>
            <w:r>
              <w:rPr>
                <w:rFonts w:hint="eastAsia" w:ascii="宋体" w:hAnsi="宋体"/>
                <w:kern w:val="0"/>
                <w:szCs w:val="21"/>
              </w:rPr>
              <w:t>1250</w:t>
            </w:r>
            <w:r>
              <w:rPr>
                <w:rFonts w:ascii="宋体" w:hAnsi="宋体"/>
                <w:kern w:val="0"/>
                <w:szCs w:val="21"/>
              </w:rPr>
              <w:t>mm</w:t>
            </w:r>
            <w:r>
              <w:rPr>
                <w:rFonts w:hint="eastAsia" w:ascii="宋体" w:hAnsi="宋体"/>
                <w:kern w:val="0"/>
                <w:szCs w:val="21"/>
              </w:rPr>
              <w:t>；一次可折弯成型工件长度≥30m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硅钢片精密型电动摆剪线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单头放料最大载重≥1.0t；冲缺深度：15mm～75mm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硅钢片两剪多冲多功能组合横剪线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双头重型放料最大载重≥4.0t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高速数控雕铣机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X/Y/Z行程≥600/600/250mm；最大进给速度≥10m/min；主轴转速≥24000r/min；三轴重复定位精度≤0.005mm；定位精度≤0.008/300mm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立式加工中心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工作台尺寸≥800mm×1200mm；最大进给速度≥48m/min；主轴最高转速≥10000r/min；三轴重复定位精度≤0.005mm；三轴定位精度≤0.008/300mm；换刀时间≤0.8秒；刀库刀具数量≥16把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钻铣加工中心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主轴最高转速≥20000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；快速移动速度≥36m/min；切削进给速度≥10m/min；刀库刀具容量≥16；三轴重复定位精度≤0.005mm；三轴定位精度≤0.008/300mm；换刀时间≤2.3s（刀具到刀具）、4.0s（切屑到切屑）；定位精度≤0.01/300mm；重复定位精度≤±0.005m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3.8.18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高速精密钻铣攻牙加工中心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主轴转速：3000</w:t>
            </w:r>
            <w:r>
              <w:rPr>
                <w:rFonts w:ascii="宋体" w:hAnsi="宋体"/>
                <w:kern w:val="0"/>
                <w:szCs w:val="21"/>
              </w:rPr>
              <w:t xml:space="preserve"> r/min</w:t>
            </w:r>
            <w:r>
              <w:rPr>
                <w:rFonts w:hint="eastAsia" w:ascii="宋体" w:hAnsi="宋体"/>
                <w:kern w:val="0"/>
                <w:szCs w:val="21"/>
              </w:rPr>
              <w:t>～24000</w:t>
            </w:r>
            <w:r>
              <w:rPr>
                <w:rFonts w:ascii="宋体" w:hAnsi="宋体"/>
                <w:kern w:val="0"/>
                <w:szCs w:val="21"/>
              </w:rPr>
              <w:t xml:space="preserve"> r/min</w:t>
            </w:r>
            <w:r>
              <w:rPr>
                <w:rFonts w:hint="eastAsia" w:ascii="宋体" w:hAnsi="宋体"/>
                <w:kern w:val="0"/>
                <w:szCs w:val="21"/>
              </w:rPr>
              <w:t>；三轴快移速度≥60m/min；定位精度：±0.005/300mm；重复定位精度：±0.003mm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3.9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工业机器人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玩具自动化装配生产线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机器人重复位姿精度≤0.1mm；工作范围最大直径≥1200mm；节拍时间（包含夹具开闭和旋转）≤ 0.33s（0.1kg物料）、0.36s（1.0kg物料）、1.0s（3.0kg物料）、1.0s（ 6.0kg物料）、1.2s（10kg物料）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家电智能包装成套装备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整线产能≥420箱/小时；成品合格率≥99%；各单机生产效率≥95%；整线应用机器人≥5台；整线品种类切换时间≤30min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机器人自动化喷釉生产线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自动化生产工序≥11个；连续产能≥1400个/22小时；喷釉优等率≥99%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机器人自动化马桶修坯系统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连续产能≥240个/22小时；优等率≥95%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机器人自动化组合浴室柜喷漆系统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机器人臂展≥3.0m；连续产能≥350个/22小时；优等率≥97%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桁架式机器人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自由度≥3；X轴最大行程≥5.0m；Z轴最大行程≥1.5m；X轴、Z轴最大快移速度≥90m/min；最大负载≥10kg；设备重复精度≤0.05mm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六自由度工业机器人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自由度≥6；重复定位精度≤±0.5mm；负载能力≥300kg；最大臂展≥3000mm；平均无故障时间≥15000小时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管道漏磁检测设备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最大检测距离≥2000km；最长运行时间≥50h；检测壁厚范围：4.0mm～16mm；绝对轴向缺陷的定位精度（距离上游/下游焊缝距离）≤±0.1m；环向缺陷位置精度≤±5°；缺陷检出率≥90%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3.9.9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IC叠装自动化生产线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机器人：最大工作范围≥600mm；旋转角度：360°；重复定位精度≤0.01mm；最大负载≥10kg。生产线：最高上料次数≥15次/分钟；单机器人作业产品更换调整时间≤5.0min；生产线产品更换调整时间≤1.0小时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3.9.10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电梯门板自动化装配生产线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生产节拍≥50秒/件；设备的稼动率≥85%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3.10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快速成型设备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3.10.1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金属材料增材制造装备（3D打印）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最大零件成形尺寸≥250mm×250mm×250mm；加工速度：≥30cm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/h；成型精度≤±0.1mm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3.11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其他成形加工设备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空心复合绝缘子专用注射成型机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一次成型的产品完好率≥90%；理论注射容积≥(25000×2)cm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；合模力≥10000kN；塑化速率≥(6.5×2)kg/min；注射速率≥(45×2)kg/min；注射压力≥60MPa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半固态镁合金注射成型机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注射速度≥5.0m/s；响应时间≤12ms；合模力≥7000kN；运行急停时间≤1/1000000s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3.11.3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可控气氛底装料立式多用炉生产线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渗碳厚度：0.05mm～0.2mm；工艺转换时间≥10min；淬火转移时间：5.0s～25s；表面温升＜35℃；升温速率≤2.0h（室温升至850℃）；热处理炉能耗≤440kW·h/t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3.11.4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自动堆叠机组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机械手单次抓取铸锭额定重量≥10吨；提升速度≥7.5m/min；平移速度≥25m/min；定位停车精度：±20mm；横向堆叠码垛尺寸（宽×高）≥3000mm×2270mm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3.11.5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锯切机组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锯片直径≥φ1100mm；锯切线速度≥45m/s；最大锯切能力≥8000cm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/min；最小试片厚度≤20mm；定长误差：±2.0mm；标准圆锭切面垂直度：0.2/100mm；标准圆锭切面粗糙度≤30μm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3" w:name="_Toc428800411"/>
      <w:r>
        <w:rPr>
          <w:rFonts w:hint="eastAsia" w:ascii="宋体" w:hAnsi="宋体"/>
          <w:b/>
          <w:sz w:val="24"/>
          <w:szCs w:val="24"/>
        </w:rPr>
        <w:t>4.电子及医疗专用装备</w:t>
      </w:r>
      <w:bookmarkEnd w:id="3"/>
    </w:p>
    <w:tbl>
      <w:tblPr>
        <w:tblStyle w:val="12"/>
        <w:tblW w:w="14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4.1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电子专用设备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视觉对位系统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电压测试精度≤1.0mV；电流测试精度≤1.0mA；频率测试精度≤1.0ppm；稳定性(FPY)≥95%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COB光组件自动测试分选和自动贴膜包装机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分BIN数：10～20BIN；回BIN率≥95%，COB尺寸≤60mm×60mm；掉料率≤1‰；色参数精度：±0.0015；产能≥2000片/小时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金属有机气相沉积装备（MOCVD）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单腔产能≥66片（2英寸片）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软板卷对卷激光直接曝光设备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曝光面积≥150mm×600mm；线宽线距≤30μm；对准精度≤±10μm；层间对位精度≤20μm；产能≥90面/小时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电力光纤预绞丝生产线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最大成型速度≥2.0m/s；最大送线速度≥2.0m/s；最大切断速度≥1.5根/秒；喷胶铺砂速度≥1.0m/s；最大绞合速度≥1.0r/s；制弯速度≥4000套/天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平板显示屏自动光学检测设备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每块玻璃的检测时间≤58秒；每块玻璃的缺陷检测数≥50个；误检率≤5%；检测区域≥95%；重复率≥95%；灵敏度检测率≥80%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IC载板非接触式贴膜机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最小贴膜板厚≤0.06mm；贴膜环境洁净度≤100级；产能≥5000片/天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锂离子电池全自动卷绕机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卷绕对齐度：±0.5mm；卷绕速度≥6.0ppm；稼动率≥95%；良品率≥98%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4.1.9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锂离子电池全自动极片刮片机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单元内刮区数≥4对；极片料卷直径≤400mm；正（负）极刮刀宽度：6.0mm～12mm；刮区内精度：±0.3mm；上下刮区对齐度≤±1.5mm；收卷对齐度≤±0.5mm；速度≥30ppm；稼动率≥97%；良品率≥98%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4.1.10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锂离子电池全自动制片机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焊接极耳处精度：±0.5mm；正、反面贴胶对位精度：±0.5mm；速度≥16ppm；稼动率≥97%；良品率≥99%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4.2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医疗诊断、监护及治疗设备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体外冲击波治疗机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振筒寿命≥100万次；治疗深度：10mm～80mm（无级调整）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4.2.2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一次性使用血浆胆红素吸附器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吸附树脂的全交换容量≥1.5mmol/g（干态）；吸附器中吸附树脂对胆红素的吸附率≥0.8μmol/ml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4" w:name="_Toc428800412"/>
      <w:r>
        <w:rPr>
          <w:rFonts w:hint="eastAsia" w:ascii="宋体" w:hAnsi="宋体"/>
          <w:b/>
          <w:sz w:val="24"/>
          <w:szCs w:val="24"/>
        </w:rPr>
        <w:t>5.汽车及轨道交通装备</w:t>
      </w:r>
      <w:bookmarkEnd w:id="4"/>
    </w:p>
    <w:tbl>
      <w:tblPr>
        <w:tblStyle w:val="12"/>
        <w:tblW w:w="14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汽车制造设备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新能源汽车电驱动系统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额定功率≥30kW；额定电压≥190V；额定扭矩≥100N·m；额定转速≥2800r/min；堵转转矩≥180N·m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电动汽车智能充电站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变压器额定容量≥4000kVA；额定充电功率≥3600kW；功率因数≥0.9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5.1.3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伺服驱动连杆线切割专用设备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最大行程≥160mm；加工孔直径≥40mm；加工厚度≤50mm；加工切槽宽度≤0.3mm；同一孔两边槽深公差≤0.05mm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5.1.4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连杆胀断专用设备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公称胀断力≥2.0×10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N；加工速度≥10秒/件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5.1.5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三合一整平送料机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开卷承载料卷宽≥600mm；整平送料矫正量调整精度≤±0.01mm；有效涂油宽度≥600mm；最大剪切宽度≥620mm；剪切料厚度：0.5mm～3.5mm；生产效率≥60吨/天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城市轨道交通设备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全低地板有轨电车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车辆地板距轨道面≤40cm；通过曲线半径≥25m；通过坡度≤60‰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轨道交通配套设备及系统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5.3.1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城轨交通供电设备安全作业智能管理系统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工作票开票、审票时间≤1.0小时；接触网接地操作时间≤0.5小时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5.3.2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移动式脉动闪光焊轨机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电源功率≥400kVA；额定顶锻力≥1200kN；生产效率≥12个焊头/小时（连续闪光）/18个焊头/小时（脉动闪光）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5.3.3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多制式节能型绿色UPS电源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功率因数≥0.99；并网谐波电流≤5%；电源效率≥98%；并联运行模块≥30台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5" w:name="_Toc428800413"/>
      <w:r>
        <w:rPr>
          <w:rFonts w:hint="eastAsia" w:ascii="宋体" w:hAnsi="宋体"/>
          <w:b/>
          <w:sz w:val="24"/>
          <w:szCs w:val="24"/>
        </w:rPr>
        <w:t>6.船舶及海洋工程装备</w:t>
      </w:r>
      <w:bookmarkEnd w:id="5"/>
    </w:p>
    <w:tbl>
      <w:tblPr>
        <w:tblStyle w:val="12"/>
        <w:tblW w:w="147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6.1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船舶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海洋高速无人船平台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Style w:val="11"/>
                <w:rFonts w:ascii="宋体" w:hAnsi="宋体"/>
                <w:kern w:val="0"/>
                <w:szCs w:val="21"/>
              </w:rPr>
              <w:footnoteReference w:id="0"/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满载排水量≥2.5t（可搭载重量≥0.5t）；最高航速≥30节；续航能力≥500km（油动）/80km（电动）；水面中目标探测能力（雷达散射截面RCS≥10m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，高度5.0m）≥10海里（18.52km）；水面小目标探测能力（雷达散射截面RCS≥1.0m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，高度2.0m）≥7海里（12.96km）；最远雷达探测距离≥66.7km（36nm）；水下目标定位精度≤10mm；水下目标定位距离≥150m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智能无人船平台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最高航速≥5.0m/s；续航时间≥10h；续航距离≥40km；最大搭载能力≥40kg；监控距离≥10km（通讯）/5.0km（视频）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6.1.3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多用途供应船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甲板吊机起吊能力≥500t；发动机马力≥6000BHP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6.1.4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多用途工作船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二级海况（浪高2.0m,风力2级）下定位精度：1.5m；集合功能≥6种；泥浆/盐水/回收油≥330m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6.1.5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牲畜特种运输船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装载面积≥4500m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；货舱通风风速≥5.0m/s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6.1.6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灵便型散货船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油耗水平≤18t/天（在船舶吃水9.50m、按CSR功率航行时）；载货量≥39000DWT；主机功率≥8900kW×117rpt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6.1.7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混凝土搅拌船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生产能力≥360m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/h；布料半径≥46m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6.2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海洋工程装备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半潜式辅助钻井平台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吊机吊运能力≥400t；钻井深度≥10000m；作业水深≥250m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6.2.2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半潜式钻井平台运送滑车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额定承载能力≥40t；最大承载能力≥50t；移动速度≥0.5m/min；液压系统额定压力≤21MPa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6.2.3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浮油回收深海平台工作船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浮油回收≥1000m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；主机功率≥12000马力；系柱拖力≥150t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6.2.4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紧凑型深海动力定位特种船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二级动力定位(DP2)；二级海况（浪高2.0m，风力2级）下定位精度≤4m；系柱拖力≥80t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6.3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关键系统及设备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6.3.1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双燃料船用低速发动机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缸径≥500mm；缸数：5～8个；功率范围：4500kW～11500kW；转速： 90r/min～125r/min；R1点平均有效压力≥17bar；活塞行程≥2050mm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6.3.2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自升式海洋钻井平台电动齿轮齿条式升降系统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额定载荷≥200Mt；压桩载荷≥255Mt；支承载荷≥315Mt；风暴载荷≥454Mt；升降速度≥0.45m/min；额定升降载荷≥220h；预压载升降载荷≥30h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6.3.3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自升式海洋钻井平台桩腿锁紧系统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垂直额定保持力≥1400Mt/套；垂直最大保持力≥5000Mt/套；动态负荷转移能力≥1100Mt/套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6.3.4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自升式海洋钻井平台悬臂梁滑移系统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可移动悬臂梁额定总重量≥1700Mt；额定推力≥856Mt；油缸移动速度≥0.6m/min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6.3.5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导航雷达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工作频率：9410±30兆赫（X波段）；捕获ARPA目标≥20个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6.3.6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超声波风速仪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风速量程≥60m/s；风速精度：±2%（风速12m/s）；风速分辨率≤0.01m/s；风向量程：0～359°；风向精度：±3%（风速12m/s）；风向分辨率≤1°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6.3.7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声纳测深仪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最大测深范围≥800m；最大偏移≥1600m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6" w:name="_Toc428800414"/>
      <w:r>
        <w:rPr>
          <w:rFonts w:hint="eastAsia" w:ascii="宋体" w:hAnsi="宋体"/>
          <w:b/>
          <w:sz w:val="24"/>
          <w:szCs w:val="24"/>
        </w:rPr>
        <w:t>7.新型轻工机械装备</w:t>
      </w:r>
      <w:bookmarkEnd w:id="6"/>
    </w:p>
    <w:tbl>
      <w:tblPr>
        <w:tblStyle w:val="12"/>
        <w:tblW w:w="14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650"/>
        <w:gridCol w:w="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纺织专用设备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高温气液染色机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染色浴比≤1∶4；染色一等品率≥95%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高速剑杆织机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最高转速≥750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；额定扭矩≥150N·m，启动扭矩可达三倍过载；纬密范围≥200根/厘米；大卷取直径≥600mm(机上)；最大盘片直径≥800mm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7.1.3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拉幅定型机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生产线公称宽度≥1800mm；最小工作幅宽≥600mm；机械速度≥100m/min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7.1.4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全自动数控剪线机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电机最大转速≥7000r/min；整体噪声≤75dB(A)；最大负压≥8.5KPa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包装印刷食品机械设备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高速PET瓶吹瓶机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单腔生产能力≥2400瓶/小时；吹瓶合格率≥99.9%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流量计吹灌旋生产线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吹塑头数≥20；灌装头≥60；整机成品合格率＞99%；理盖旋盖损盖率≤0.1%；每小时产品电耗≤190kW·h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无菌吹灌旋生产线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消毒机头数≥100×2；单轮消毒液消毒时间≥10s；无菌水冲瓶机头数≥100；生产能力≥36000瓶（285毫升/瓶）/小时；无菌气压力≥0.6MPa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不干胶贴标机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生产能力≥30000瓶/小时；贴标精度（送标速度≤25m/min时）：X向±1.0mm，Y向±0.5m；合格率≥99%；标损率≤0.5‰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全自动纸箱包装机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生产能力≥60包/分钟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下印式全自动联动生产线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最高加工速度≥180m/min；最大纸板加工尺寸≥1600mm×2800mm；纸板加工厚度：2.0mm～11mm；可配印刷单元颜色≥6色；印刷套准精度≤±0.5mm；网纹辊线数≥600LPI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瓦楞纸板生产线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幅宽≥2.5m，生产速度≥300m/min；瓦楞厚度≥7层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门板包装生产线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适应6种或以上规格门板包装；生产速度≥25秒/只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7.2.9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内外补强糊底机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阀口纸条(长×宽) ≥(100～300)mm×(120～240)mm；两底补强条：250mm～900mm；中心距：250mm～800mm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7.2.10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高效瓦楞机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运行速度≥300r/min；单位时间功率消耗≤5%；幅宽≥2.5m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微热再生吸附式干燥机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处理流量≥30m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/min；再生风量≤7%；出口露点温度（干燥度）≤-40℃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电子轴凹版印刷机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纸张80g/m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～350g/m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，最大基材宽度≥820mm；印刷色数≥10色（第1、9色可正反面印刷）；最高机械速度≥250m/min；全宽张力范围：纸张6kg～70kg/全宽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印刷复合机组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适用印刷基材：纸张70g/m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～350g/m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；最大基材宽度≥850mm；最高机械速度≥150m/min；最大放卷直径≥1600mm（纸张）/800mm（薄膜）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VOC零排放绿色凹版印刷机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VOC零排放；印刷品溶剂残留量总和≤10mg/m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；印刷品苯、甲苯、二甲苯残留量总和≤3.0mg/m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全自动真空旋盖机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适应瓶径：55mm～120mm；旋盖后瓶内真空度：0.04Pa～0.065Pa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人造奶油生产线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换热性能≥250Btu/(ft2•h•℉)；刮板轴转速≥160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～400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；物料层耐压≥3.0MPa；换热面积≥1.0m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；动/静棒间隙≤2mm；动棒转轴转速：50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～350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；捏合筒耐压≥3.0MPa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二片罐自动生产线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生产能力≥300罐/分钟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太阳能光敏膜涂布复合机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复合厚度≤0.4mm；复合宽度≥1300mm；最高机械速度≥80m/min；最高复合速度≥60m/min；收/放卷直径≥1000mm；光电转换效率≥3.5%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7.2.19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工业炸药自动包装机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生产能力≥3.5t/h；装机容量≤3kW；耗气量≤3m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/min；装箱合格率≥98%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环保专用设备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7.3.1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紫外线空气消毒净化装置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适用空间≥120m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；机内紫外线辐射强度(mw/cm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)≥20；机外紫外线泄漏强度≤0.05μw/cm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；气雾室灭菌效果≥99%；对空气中自然菌的消亡率(一次性通过)≥90%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7.3.2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铝屑压块机组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铝屑压块密度：1.5g/cm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～2.5g/cm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；产能≥300kg/h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7.3.3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PE隔板生产线有机废气冷凝回收处理设备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4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废气中三氯乙烯浓度：8000ppm～30000ppm；低温处理后的废气温度：10℃～25℃；单一溶剂三氯乙烯额定处理能力≥1000kg/h；处理后废气中三氯乙烯浓度≤3000ppm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7.3.4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油气冷凝回收机组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机组处理流量≥100m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/h，满足30%～130%的流量变化；冷凝段处理温度：-40℃～75℃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7.3.5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除尘风送式喷雾机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水平喷雾射程≥200m；耗水量≤15m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/h～20m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/h；雾炮总功率≥110kW；除尘降尘有效率≥85%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7.3.6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串联火炬气回收液环压缩机组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抽气量≥75m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/min；排出压力0.6～0.9MPa(A)；抽气效率≥7.65m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/kW·h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物料搬运专用设备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7.4.1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铝型材氧化线输送机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额定输送载荷≥2.4t+2.4t；提升高度≥9.0m；开合速度≥3.5m/min；最大提升速度≥40m/min；最大输送速度≥40m/min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7.4.2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公共交通型自动扶梯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梯级宽度≥1000mm；提升高度≥10080mm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智能化金属包装机械专用设备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7.5.1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全自动电阻焊罐身焊接机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最大焊接速度≥70m/min；生产效率≥500罐/分钟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7.5.2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全自动食品罐检漏机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检测速度≥800罐/分钟；检测精度≤0.07mm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特种用空调及制造设备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飞机地面专用空调机组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制冷量≥225kW；消耗功率≤115kW；性能系数≥2.0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高效节能水电空调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4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制冷量：300～3430kW；制热量335～3800kW；制冷能效比≥6.7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计算机和数据处理机房专用单元式空气调节机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4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制冷量≥40kW；消耗功率≤20kW；性能系数≥2.5；温度精度±0.8℃，湿度精度±4%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发动机试验室专用空调机组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温度精度：±0.8℃；湿度精度：±5</w:t>
            </w:r>
            <w:r>
              <w:rPr>
                <w:rFonts w:ascii="宋体" w:hAnsi="宋体"/>
                <w:kern w:val="0"/>
                <w:szCs w:val="21"/>
              </w:rPr>
              <w:t>%RH</w:t>
            </w:r>
            <w:r>
              <w:rPr>
                <w:rFonts w:hint="eastAsia" w:ascii="宋体" w:hAnsi="宋体"/>
                <w:kern w:val="0"/>
                <w:szCs w:val="21"/>
              </w:rPr>
              <w:t>；开机稳定时间≤30min；变工况调节时间≤90s；能效比≥2.5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轨道交通通风空调机组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机组能效比≥5.5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核电站专用空调设备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额定风量：2000m3/h～80000m3/h；额定冷量：12kW～681kW；额定热量：14kW～1086kW；箱体耐压≥2000Pa；箱体漏风率≤1%（在1000Pa静压下）；设备交变盐雾严酷等级≥2级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多工位微收缩胀管机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工作节拍≤25秒/个；可加工翅片式热交换器长度：220mm～2500mm；工位数≥4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7.6.8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贯流风叶超声焊接自动化生产线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零件定位精度≤0.01mm；零件装配精度≤0.01mm；生产节拍≤5.0秒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节；成品率≥99%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环卫清洁设备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7.7.1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电动扫地车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清扫宽度≥1900mm；过滤器面积≥10m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；滚刷宽度≥850mm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7.7.2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纯吸式扫路车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清扫宽度≥3650mm，清扫效率≥85%；最大吸入粒度≥30mm；噪声≤90dB(A)；作业时吸口处最大气流速度≥25m/s；吸尘系统出口排放平均含尘浓度≤60mg/m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7.8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新材料生产设备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7.8.1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无封装芯片贴片设备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贴片精度≤0.01mm；生产节拍≥3000片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7.8.2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金属纳米粉电爆法高速生产装备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纳米粉粒径≤30纳米；产能≥500g/h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7" w:name="_Toc428800415"/>
      <w:r>
        <w:rPr>
          <w:rFonts w:hint="eastAsia" w:ascii="宋体" w:hAnsi="宋体"/>
          <w:b/>
          <w:sz w:val="24"/>
          <w:szCs w:val="24"/>
        </w:rPr>
        <w:t>8.农业机械装备</w:t>
      </w:r>
      <w:bookmarkEnd w:id="7"/>
    </w:p>
    <w:tbl>
      <w:tblPr>
        <w:tblStyle w:val="12"/>
        <w:tblW w:w="14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甘蔗联合收割机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strike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配套动力≥90kW；适应垄距≥900mm；收割效率≥25t/h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植保无人机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strike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净重（不带电池）≤16.5kg；续航时间≥12min；喷幅≥9.0m；载荷≥18kg；作业速度≥8.0m/s，作业效率≥10万m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/h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生物质碳化连续生产线成套装备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碳化炉螺杆转速≥1.0r/min；出炭机构转速≥50r/min；鼓风机流量≥5000m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/h；产能≥500kg/h（棕榈壳）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生物有机肥料工业化生产线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产能≥5万吨/年；能耗≤100</w:t>
            </w:r>
            <w:r>
              <w:rPr>
                <w:rFonts w:ascii="宋体" w:hAnsi="宋体"/>
                <w:kern w:val="0"/>
                <w:szCs w:val="21"/>
              </w:rPr>
              <w:t>kWh/t</w:t>
            </w:r>
            <w:r>
              <w:rPr>
                <w:rFonts w:hint="eastAsia" w:ascii="宋体" w:hAnsi="宋体"/>
                <w:kern w:val="0"/>
                <w:szCs w:val="21"/>
              </w:rPr>
              <w:t>；噪声≤</w:t>
            </w:r>
            <w:r>
              <w:rPr>
                <w:rFonts w:ascii="宋体" w:hAnsi="宋体"/>
                <w:kern w:val="0"/>
                <w:szCs w:val="21"/>
              </w:rPr>
              <w:t>60dB(A)</w:t>
            </w:r>
            <w:r>
              <w:rPr>
                <w:rFonts w:hint="eastAsia" w:ascii="宋体" w:hAnsi="宋体"/>
                <w:kern w:val="0"/>
                <w:szCs w:val="21"/>
              </w:rPr>
              <w:t>；设计寿命≥25年；肥料特性：有机质≥8O%、湿度≤30%、密度≥0.8</w:t>
            </w:r>
            <w:r>
              <w:rPr>
                <w:rFonts w:ascii="宋体" w:hAnsi="宋体"/>
                <w:kern w:val="0"/>
                <w:szCs w:val="21"/>
              </w:rPr>
              <w:t>kg/m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生态光合代谢剂工业化生产线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产能≥8万支/年；能耗≤100</w:t>
            </w:r>
            <w:r>
              <w:rPr>
                <w:rFonts w:ascii="宋体" w:hAnsi="宋体"/>
                <w:kern w:val="0"/>
                <w:szCs w:val="21"/>
              </w:rPr>
              <w:t>kWh/t</w:t>
            </w:r>
            <w:r>
              <w:rPr>
                <w:rFonts w:hint="eastAsia" w:ascii="宋体" w:hAnsi="宋体"/>
                <w:kern w:val="0"/>
                <w:szCs w:val="21"/>
              </w:rPr>
              <w:t>；噪声≤3</w:t>
            </w:r>
            <w:r>
              <w:rPr>
                <w:rFonts w:ascii="宋体" w:hAnsi="宋体"/>
                <w:kern w:val="0"/>
                <w:szCs w:val="21"/>
              </w:rPr>
              <w:t>0dB(A)</w:t>
            </w:r>
            <w:r>
              <w:rPr>
                <w:rFonts w:hint="eastAsia" w:ascii="宋体" w:hAnsi="宋体"/>
                <w:kern w:val="0"/>
                <w:szCs w:val="21"/>
              </w:rPr>
              <w:t>；设计寿命≥25年；光合代谢剂特性：密度≤</w:t>
            </w:r>
            <w:r>
              <w:rPr>
                <w:rFonts w:ascii="宋体" w:hAnsi="宋体"/>
                <w:kern w:val="0"/>
                <w:szCs w:val="21"/>
              </w:rPr>
              <w:t>0.00</w:t>
            </w:r>
            <w:r>
              <w:rPr>
                <w:rFonts w:hint="eastAsia" w:ascii="宋体" w:hAnsi="宋体"/>
                <w:kern w:val="0"/>
                <w:szCs w:val="21"/>
              </w:rPr>
              <w:t>09k</w:t>
            </w:r>
            <w:r>
              <w:rPr>
                <w:rFonts w:ascii="宋体" w:hAnsi="宋体"/>
                <w:kern w:val="0"/>
                <w:szCs w:val="21"/>
              </w:rPr>
              <w:t>g/L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水产养殖工业化生产线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产能≥1.5万吨/年；养殖种类≥30个；能耗≤200</w:t>
            </w:r>
            <w:r>
              <w:rPr>
                <w:rFonts w:ascii="宋体" w:hAnsi="宋体"/>
                <w:kern w:val="0"/>
                <w:szCs w:val="21"/>
              </w:rPr>
              <w:t>kWh/</w:t>
            </w:r>
            <w:r>
              <w:rPr>
                <w:rFonts w:hint="eastAsia" w:ascii="宋体" w:hAnsi="宋体"/>
                <w:kern w:val="0"/>
                <w:szCs w:val="21"/>
              </w:rPr>
              <w:t>天；噪声＜10</w:t>
            </w:r>
            <w:r>
              <w:rPr>
                <w:rFonts w:ascii="宋体" w:hAnsi="宋体"/>
                <w:kern w:val="0"/>
                <w:szCs w:val="21"/>
              </w:rPr>
              <w:t>0dB(A)</w:t>
            </w:r>
            <w:r>
              <w:rPr>
                <w:rFonts w:hint="eastAsia" w:ascii="宋体" w:hAnsi="宋体"/>
                <w:kern w:val="0"/>
                <w:szCs w:val="21"/>
              </w:rPr>
              <w:t>；设计寿命≥25年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sz w:val="32"/>
          <w:szCs w:val="32"/>
        </w:rPr>
        <w:br w:type="page"/>
      </w:r>
      <w:bookmarkStart w:id="8" w:name="_Toc428800416"/>
      <w:r>
        <w:rPr>
          <w:rFonts w:hint="eastAsia" w:ascii="宋体" w:hAnsi="宋体"/>
          <w:b/>
          <w:sz w:val="24"/>
          <w:szCs w:val="24"/>
        </w:rPr>
        <w:t>9.施工机械装备</w:t>
      </w:r>
      <w:bookmarkEnd w:id="8"/>
    </w:p>
    <w:tbl>
      <w:tblPr>
        <w:tblStyle w:val="12"/>
        <w:tblW w:w="148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9.1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施工机械设备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9.1.1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防爆升降机或升降平台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额定载重量≥1000kg；额定运行速度≥30m/min；最大提升高度≥150m；吊笼高度≥2.5m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9.1.2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圆锥破碎机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破碎锥直径≥1600mm；给矿口宽度≥250mm；最大给矿尺寸≥215mm；排矿口调整范围≥160mm；产能≥60t/h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9.2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港口机械设备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集装箱起重机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起重量≥40t；轨/跨距≥23m；起升高度≥21m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集装箱正面吊运起重机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轴距≥6.0m；额定起重量≥45t(第1排)/31t(第2排)/15t(第3排)；起升高度≥15m；堆高层数≥5层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斗轮堆取料机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生产能力≥1800t/h；回转工作半径≥40m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连续式粮食装船机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装载量≥1900t/h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重型叉车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轴距≥5.5m；前悬距≥1.35m；额定起重量≥45t；起升高度≥4.0m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堆高机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轴距≥4.5mm；前悬距≥1.15m；额定起重量≥9.0t；堆垛层数≥8（+1）层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伸缩臂叉车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轴距≥4.5m；前悬距≥1.2m(第1排)/3.45m(第2排)；额定起重量≥8.0t；起升高度≥4.0m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9.2.8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抓料机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台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轴距≥3.0m；作业半径≥16.5m；作业高度≥15m；起重力矩≥600kN·m；作业效率≥350t/h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outlineLvl w:val="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bookmarkStart w:id="9" w:name="_Toc428800417"/>
      <w:r>
        <w:rPr>
          <w:rFonts w:hint="eastAsia" w:ascii="宋体" w:hAnsi="宋体"/>
          <w:b/>
          <w:sz w:val="24"/>
          <w:szCs w:val="24"/>
        </w:rPr>
        <w:t>10.重大技术装备配套总成或核心部件</w:t>
      </w:r>
      <w:bookmarkEnd w:id="9"/>
    </w:p>
    <w:tbl>
      <w:tblPr>
        <w:tblStyle w:val="12"/>
        <w:tblW w:w="148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182"/>
        <w:gridCol w:w="1043"/>
        <w:gridCol w:w="6721"/>
        <w:gridCol w:w="1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产品分类及名称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产品性能技术参数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10.1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户外高压交流固封真空断路器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额定电压≥12kV；额定电流≥20kA；额定短路开断电流≥20kA；额定工频耐受电压≥42kV(干试)、34kV(湿试)；雷电冲击耐受电压≥75kV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10.2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轴向柱塞泵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额定压力≥35MPa；最高压力≥42MPa；额定排量：125ml/r～355ml/r；容积效率≥96%；总效率≥91%；噪声≤90dB(A)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10.3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高压系统液压总成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镗滚内表面粗糙度Ra值≤0.05μm；油缸额定工作压力≥30MPa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10.4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永磁同步交流伺服电机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额定转速≥3000</w:t>
            </w:r>
            <w:r>
              <w:rPr>
                <w:rFonts w:ascii="宋体" w:hAnsi="宋体"/>
                <w:kern w:val="0"/>
                <w:szCs w:val="21"/>
              </w:rPr>
              <w:t>r/min</w:t>
            </w:r>
            <w:r>
              <w:rPr>
                <w:rFonts w:hint="eastAsia" w:ascii="宋体" w:hAnsi="宋体"/>
                <w:kern w:val="0"/>
                <w:szCs w:val="21"/>
              </w:rPr>
              <w:t>；额定功率≥4200W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10.5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工业用高性能大容量不间断电源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abs>
                <w:tab w:val="left" w:pos="1698"/>
              </w:tabs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容量≥200kVA；并机台数≥8台并联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10.6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PCB</w:t>
            </w:r>
            <w:r>
              <w:rPr>
                <w:rFonts w:hint="eastAsia"/>
              </w:rPr>
              <w:t>钻孔机及成型机主轴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回转精度≤0.002mm；最高转速≥40万转/分钟（钻孔）/7.5万转/分钟（成型）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kern w:val="0"/>
                <w:szCs w:val="21"/>
              </w:rPr>
              <w:t>10.7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数控雕铣机主轴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跳动≤0.001mm；主轴振动≤0.5mm/s；表面加工粗糙度≤Ra0.05；最高转速≥6万转/分钟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10.8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高速加工中心主轴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hint="eastAsia"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6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N w:val="0"/>
              <w:spacing w:line="312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轴端内锥面跳动≤0.001mm；主轴振动≤1.0mm/s；最高转速≥2.5万转/分钟；最大功率≥30kW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FF0000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pgNumType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pacing w:line="312" w:lineRule="auto"/>
        <w:rPr>
          <w:rFonts w:hint="eastAsia"/>
        </w:rPr>
      </w:pPr>
      <w:r>
        <w:rPr>
          <w:rStyle w:val="11"/>
        </w:rPr>
        <w:footnoteRef/>
      </w:r>
      <w:r>
        <w:rPr>
          <w:rFonts w:hint="eastAsia"/>
        </w:rPr>
        <w:t xml:space="preserve"> 注：为便于规范管理，根据首台（套）重大技术装备产品的不同类别（成套、单台、部件），将重大技术装备产品的单位统一规范为“套”、“台”、“件”三种类型。</w:t>
      </w:r>
    </w:p>
    <w:p>
      <w:pPr>
        <w:pStyle w:val="2"/>
        <w:spacing w:line="312" w:lineRule="auto"/>
        <w:rPr>
          <w:rFonts w:hint="eastAsia"/>
        </w:rPr>
      </w:pPr>
    </w:p>
    <w:p>
      <w:pPr>
        <w:pStyle w:val="6"/>
        <w:snapToGrid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0425A"/>
    <w:rsid w:val="04AB752E"/>
    <w:rsid w:val="0AA076BE"/>
    <w:rsid w:val="0B9C0065"/>
    <w:rsid w:val="1A3E6D16"/>
    <w:rsid w:val="26F5170D"/>
    <w:rsid w:val="2BA42A4D"/>
    <w:rsid w:val="338E380B"/>
    <w:rsid w:val="497773D4"/>
    <w:rsid w:val="4D2E1034"/>
    <w:rsid w:val="5D9540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8">
    <w:name w:val="endnote reference"/>
    <w:uiPriority w:val="0"/>
    <w:rPr>
      <w:vertAlign w:val="superscript"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footnote reference"/>
    <w:basedOn w:val="7"/>
    <w:uiPriority w:val="0"/>
    <w:rPr>
      <w:vertAlign w:val="superscript"/>
    </w:rPr>
  </w:style>
  <w:style w:type="paragraph" w:styleId="13">
    <w:name w:val=""/>
    <w:basedOn w:val="1"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14">
    <w:name w:val="文"/>
    <w:basedOn w:val="1"/>
    <w:uiPriority w:val="0"/>
    <w:pPr>
      <w:spacing w:line="360" w:lineRule="auto"/>
      <w:ind w:firstLine="420" w:firstLineChars="200"/>
    </w:pPr>
    <w:rPr>
      <w:rFonts w:ascii="宋体" w:hAnsi="宋体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9897</Words>
  <Characters>14190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Administrator</dc:creator>
  <cp:lastModifiedBy>Administrator</cp:lastModifiedBy>
  <dcterms:modified xsi:type="dcterms:W3CDTF">2016-12-14T06:17:17Z</dcterms:modified>
  <dc:title>广东省经济和信息化委关于发布广东省首台（套）重大技术装备推广应用指导目录（2015年版）的通告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